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6D183D58"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B875A8">
        <w:rPr>
          <w:rFonts w:ascii="Arial" w:eastAsia="Batang" w:hAnsi="Arial" w:cs="Arial"/>
          <w:b/>
          <w:bCs/>
          <w:szCs w:val="22"/>
        </w:rPr>
        <w:t>9</w:t>
      </w:r>
      <w:r w:rsidRPr="00074926">
        <w:rPr>
          <w:rFonts w:ascii="Arial" w:eastAsia="Batang" w:hAnsi="Arial" w:cs="Arial"/>
          <w:b/>
          <w:bCs/>
          <w:szCs w:val="22"/>
        </w:rPr>
        <w:tab/>
      </w:r>
      <w:r w:rsidRPr="00074926">
        <w:rPr>
          <w:rFonts w:ascii="Arial" w:eastAsia="Batang" w:hAnsi="Arial" w:cs="Arial"/>
          <w:b/>
          <w:bCs/>
          <w:szCs w:val="22"/>
        </w:rPr>
        <w:tab/>
      </w:r>
      <w:r w:rsidR="007A364E" w:rsidRPr="007A364E">
        <w:rPr>
          <w:rFonts w:ascii="Arial" w:eastAsia="Batang" w:hAnsi="Arial" w:cs="Arial"/>
          <w:b/>
          <w:bCs/>
          <w:szCs w:val="22"/>
        </w:rPr>
        <w:t>R1-1912350</w:t>
      </w:r>
    </w:p>
    <w:p w14:paraId="3B0F6453" w14:textId="6BACDEF3" w:rsidR="00855F39" w:rsidRPr="00074926" w:rsidRDefault="00B875A8" w:rsidP="00855F39">
      <w:pPr>
        <w:tabs>
          <w:tab w:val="center" w:pos="4536"/>
          <w:tab w:val="right" w:pos="9072"/>
        </w:tabs>
        <w:ind w:left="1440" w:hanging="1440"/>
        <w:rPr>
          <w:rFonts w:ascii="Arial" w:eastAsia="MS Mincho" w:hAnsi="Arial" w:cs="Arial"/>
          <w:b/>
          <w:bCs/>
          <w:szCs w:val="22"/>
          <w:lang w:eastAsia="ja-JP"/>
        </w:rPr>
      </w:pPr>
      <w:r w:rsidRPr="00B875A8">
        <w:rPr>
          <w:rFonts w:ascii="Arial" w:eastAsia="MS Mincho" w:hAnsi="Arial" w:cs="Arial"/>
          <w:b/>
          <w:bCs/>
          <w:szCs w:val="22"/>
          <w:lang w:eastAsia="ja-JP"/>
        </w:rPr>
        <w:t>Reno, USA, November 18</w:t>
      </w:r>
      <w:r w:rsidRPr="00B875A8">
        <w:rPr>
          <w:rFonts w:ascii="Arial" w:eastAsia="MS Mincho" w:hAnsi="Arial" w:cs="Arial"/>
          <w:b/>
          <w:bCs/>
          <w:szCs w:val="22"/>
          <w:vertAlign w:val="superscript"/>
          <w:lang w:eastAsia="ja-JP"/>
        </w:rPr>
        <w:t>th</w:t>
      </w:r>
      <w:r w:rsidRPr="00B875A8">
        <w:rPr>
          <w:rFonts w:ascii="Arial" w:eastAsia="MS Mincho" w:hAnsi="Arial" w:cs="Arial"/>
          <w:b/>
          <w:bCs/>
          <w:szCs w:val="22"/>
          <w:lang w:eastAsia="ja-JP"/>
        </w:rPr>
        <w:t xml:space="preserve"> – 22</w:t>
      </w:r>
      <w:r w:rsidRPr="00B875A8">
        <w:rPr>
          <w:rFonts w:ascii="Arial" w:eastAsia="MS Mincho" w:hAnsi="Arial" w:cs="Arial"/>
          <w:b/>
          <w:bCs/>
          <w:szCs w:val="22"/>
          <w:vertAlign w:val="superscript"/>
          <w:lang w:eastAsia="ja-JP"/>
        </w:rPr>
        <w:t>nd</w:t>
      </w:r>
      <w:r w:rsidR="00D11D0F" w:rsidRPr="004D5BF4">
        <w:rPr>
          <w:rFonts w:ascii="Arial" w:eastAsia="MS Mincho" w:hAnsi="Arial" w:cs="Arial"/>
          <w:b/>
          <w:bCs/>
          <w:szCs w:val="22"/>
          <w:lang w:eastAsia="ja-JP"/>
        </w:rPr>
        <w:t xml:space="preserve">, </w:t>
      </w:r>
      <w:r w:rsidR="004D5BF4" w:rsidRPr="004D5BF4">
        <w:rPr>
          <w:rFonts w:ascii="Arial" w:eastAsia="MS Mincho" w:hAnsi="Arial" w:cs="Arial"/>
          <w:b/>
          <w:bCs/>
          <w:szCs w:val="22"/>
          <w:lang w:eastAsia="ja-JP"/>
        </w:rPr>
        <w:t>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32CE93D"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C31D6F">
        <w:rPr>
          <w:b/>
          <w:lang w:val="en-US"/>
        </w:rPr>
        <w:t>7</w:t>
      </w:r>
      <w:r w:rsidR="005C70A9">
        <w:rPr>
          <w:b/>
          <w:lang w:val="en-US"/>
        </w:rPr>
        <w:t>.2</w:t>
      </w:r>
      <w:r w:rsidR="00855F39" w:rsidRPr="00074926">
        <w:rPr>
          <w:b/>
          <w:lang w:val="en-US"/>
        </w:rPr>
        <w:t>.</w:t>
      </w:r>
      <w:r w:rsidR="00C31D6F">
        <w:rPr>
          <w:b/>
          <w:lang w:val="en-US"/>
        </w:rPr>
        <w:t>6</w:t>
      </w:r>
      <w:r w:rsidR="00DF7A12">
        <w:rPr>
          <w:b/>
          <w:lang w:val="en-US"/>
        </w:rPr>
        <w:t>.</w:t>
      </w:r>
      <w:r w:rsidR="00734E2E">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6BBB446"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C45F0C" w:rsidRPr="00C45F0C">
        <w:rPr>
          <w:b/>
          <w:color w:val="000000"/>
          <w:lang w:val="en-US"/>
        </w:rPr>
        <w:t>Remaining issues in PDCCH Enhancements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687E7718"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D11D0F">
        <w:rPr>
          <w:rFonts w:eastAsia="MS Mincho"/>
          <w:lang w:val="en-US"/>
        </w:rPr>
        <w:t>8</w:t>
      </w:r>
      <w:r w:rsidR="000A1ACC">
        <w:rPr>
          <w:rFonts w:eastAsia="MS Mincho"/>
          <w:lang w:val="en-US"/>
        </w:rPr>
        <w:t>bis</w:t>
      </w:r>
      <w:r>
        <w:rPr>
          <w:rFonts w:eastAsia="MS Mincho"/>
          <w:lang w:val="en-US"/>
        </w:rPr>
        <w:t xml:space="preserve">, we </w:t>
      </w:r>
      <w:r w:rsidR="003753AD">
        <w:rPr>
          <w:rFonts w:eastAsia="MS Mincho"/>
          <w:lang w:val="en-US"/>
        </w:rPr>
        <w:t>made the following agreement</w:t>
      </w:r>
      <w:r w:rsidR="0025781D">
        <w:rPr>
          <w:rFonts w:eastAsia="MS Mincho"/>
          <w:lang w:val="en-US"/>
        </w:rPr>
        <w:t>s</w:t>
      </w:r>
      <w:r w:rsidR="00AA5907">
        <w:rPr>
          <w:rFonts w:eastAsia="MS Mincho"/>
          <w:lang w:val="en-US"/>
        </w:rPr>
        <w:t>:</w:t>
      </w:r>
    </w:p>
    <w:p w14:paraId="1F9EB7B9"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26FAF8D8"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 xml:space="preserve">Support configurable number of bits (0 or 1 bit) for “VRB-to-PRB mapping” in the new DCI format for DL scheduling for Rel-16 URLLC. </w:t>
      </w:r>
    </w:p>
    <w:p w14:paraId="052938A2" w14:textId="77777777" w:rsidR="00B01DFD" w:rsidRPr="00B01DFD" w:rsidRDefault="00B01DFD" w:rsidP="00B01DFD">
      <w:pPr>
        <w:numPr>
          <w:ilvl w:val="0"/>
          <w:numId w:val="16"/>
        </w:numPr>
        <w:autoSpaceDE w:val="0"/>
        <w:autoSpaceDN w:val="0"/>
        <w:adjustRightInd w:val="0"/>
        <w:snapToGrid w:val="0"/>
        <w:spacing w:after="0"/>
        <w:ind w:left="1502" w:hanging="357"/>
        <w:jc w:val="both"/>
        <w:rPr>
          <w:i/>
          <w:iCs/>
          <w:lang w:eastAsia="zh-CN"/>
        </w:rPr>
      </w:pPr>
      <w:r w:rsidRPr="00B01DFD">
        <w:rPr>
          <w:i/>
          <w:iCs/>
          <w:lang w:eastAsia="zh-CN"/>
        </w:rPr>
        <w:t xml:space="preserve">If </w:t>
      </w:r>
      <w:r w:rsidRPr="00B01DFD">
        <w:rPr>
          <w:i/>
          <w:iCs/>
          <w:color w:val="000000"/>
          <w:kern w:val="2"/>
          <w:lang w:eastAsia="zh-CN"/>
        </w:rPr>
        <w:t>0 bit is configured, n</w:t>
      </w:r>
      <w:r w:rsidRPr="00B01DFD">
        <w:rPr>
          <w:i/>
          <w:iCs/>
        </w:rPr>
        <w:t xml:space="preserve">on-interleaved VRB-to-PRB mapping as in Rel-15 is applied. </w:t>
      </w:r>
      <w:r w:rsidRPr="00B01DFD">
        <w:rPr>
          <w:i/>
          <w:iCs/>
          <w:color w:val="000000"/>
          <w:kern w:val="2"/>
          <w:lang w:eastAsia="zh-CN"/>
        </w:rPr>
        <w:t xml:space="preserve"> </w:t>
      </w:r>
    </w:p>
    <w:p w14:paraId="196E613E" w14:textId="77777777" w:rsidR="00B01DFD" w:rsidRPr="00B01DFD" w:rsidRDefault="00B01DFD" w:rsidP="00B01DFD">
      <w:pPr>
        <w:ind w:left="720"/>
        <w:rPr>
          <w:i/>
          <w:lang w:eastAsia="x-none"/>
        </w:rPr>
      </w:pPr>
    </w:p>
    <w:p w14:paraId="3A953874" w14:textId="77777777" w:rsidR="00B01DFD" w:rsidRPr="00B01DFD" w:rsidRDefault="00B01DFD" w:rsidP="00B01DFD">
      <w:pPr>
        <w:ind w:left="720"/>
        <w:rPr>
          <w:i/>
          <w:highlight w:val="green"/>
          <w:lang w:eastAsia="x-none"/>
        </w:rPr>
      </w:pPr>
      <w:r w:rsidRPr="00B01DFD">
        <w:rPr>
          <w:i/>
          <w:highlight w:val="green"/>
          <w:lang w:eastAsia="x-none"/>
        </w:rPr>
        <w:t>Agreements:</w:t>
      </w:r>
    </w:p>
    <w:p w14:paraId="09A38513" w14:textId="77777777" w:rsidR="00B01DFD" w:rsidRPr="00B01DFD" w:rsidRDefault="00B01DFD" w:rsidP="00B01DFD">
      <w:pPr>
        <w:spacing w:after="60"/>
        <w:ind w:left="720"/>
        <w:rPr>
          <w:i/>
          <w:color w:val="000000"/>
          <w:kern w:val="2"/>
          <w:lang w:eastAsia="zh-CN"/>
        </w:rPr>
      </w:pPr>
      <w:r w:rsidRPr="00B01DFD">
        <w:rPr>
          <w:i/>
          <w:color w:val="000000"/>
          <w:kern w:val="2"/>
          <w:lang w:eastAsia="zh-CN"/>
        </w:rPr>
        <w:t>Support configurable number of bits (0 or 1 or 2 bits) for “Redundancy version” in the new DCI format for DL scheduling for Rel-16 URLLC.</w:t>
      </w:r>
    </w:p>
    <w:p w14:paraId="6134CF97"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color w:val="000000"/>
          <w:kern w:val="2"/>
          <w:lang w:eastAsia="zh-CN"/>
        </w:rPr>
      </w:pPr>
      <w:r w:rsidRPr="00B01DFD">
        <w:rPr>
          <w:i/>
          <w:color w:val="000000"/>
          <w:kern w:val="2"/>
          <w:lang w:eastAsia="zh-CN"/>
        </w:rPr>
        <w:t xml:space="preserve">If 0 bit is configured, RV0 is used. </w:t>
      </w:r>
    </w:p>
    <w:p w14:paraId="420CBBB5"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color w:val="000000"/>
          <w:kern w:val="2"/>
          <w:lang w:eastAsia="zh-CN"/>
        </w:rPr>
      </w:pPr>
      <w:r w:rsidRPr="00B01DFD">
        <w:rPr>
          <w:i/>
          <w:color w:val="000000"/>
          <w:kern w:val="2"/>
          <w:lang w:eastAsia="zh-CN"/>
        </w:rPr>
        <w:t xml:space="preserve">If 1 bit is configured, RV0 and RV3 are indicated dynamically  </w:t>
      </w:r>
    </w:p>
    <w:p w14:paraId="7D89DF26"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2D42B130" w14:textId="77777777" w:rsidR="00B01DFD" w:rsidRPr="00B01DFD" w:rsidRDefault="00B01DFD" w:rsidP="00B01DFD">
      <w:pPr>
        <w:numPr>
          <w:ilvl w:val="0"/>
          <w:numId w:val="8"/>
        </w:numPr>
        <w:spacing w:after="60"/>
        <w:ind w:left="1440"/>
        <w:rPr>
          <w:i/>
          <w:color w:val="000000"/>
          <w:kern w:val="2"/>
          <w:lang w:eastAsia="zh-CN"/>
        </w:rPr>
      </w:pPr>
      <w:r w:rsidRPr="00B01DFD">
        <w:rPr>
          <w:i/>
          <w:color w:val="000000"/>
          <w:kern w:val="2"/>
          <w:lang w:eastAsia="zh-CN"/>
        </w:rPr>
        <w:t>Support configurable number of bits (0 or 1 or 2 or 3 bits) for “Carrier indicator” for the new DCI formats scheduling Rel-16 URLLC.</w:t>
      </w:r>
    </w:p>
    <w:p w14:paraId="729445FE" w14:textId="77777777" w:rsidR="00B01DFD" w:rsidRPr="00B01DFD" w:rsidRDefault="00B01DFD" w:rsidP="00B01DFD">
      <w:pPr>
        <w:numPr>
          <w:ilvl w:val="1"/>
          <w:numId w:val="8"/>
        </w:numPr>
        <w:spacing w:after="0"/>
        <w:ind w:left="2520"/>
        <w:rPr>
          <w:i/>
          <w:lang w:eastAsia="x-none"/>
        </w:rPr>
      </w:pPr>
      <w:r w:rsidRPr="00B01DFD">
        <w:rPr>
          <w:i/>
          <w:lang w:eastAsia="x-none"/>
        </w:rPr>
        <w:t>The number of bits for “carrier indicator” in the new DCI format for DL scheduling and the new DCI format for UL scheduling can be separately configured.</w:t>
      </w:r>
    </w:p>
    <w:p w14:paraId="3D4E0D05" w14:textId="77777777" w:rsidR="00B01DFD" w:rsidRPr="00B01DFD" w:rsidRDefault="00B01DFD" w:rsidP="00B01DFD">
      <w:pPr>
        <w:ind w:left="720"/>
        <w:rPr>
          <w:i/>
          <w:lang w:eastAsia="x-none"/>
        </w:rPr>
      </w:pPr>
    </w:p>
    <w:p w14:paraId="76565A72"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69D8BB40"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For the new DCI format for DL scheduling for Rel-16 URLLC, support configurable number of bits for the following fields:</w:t>
      </w:r>
    </w:p>
    <w:p w14:paraId="3A947F8F"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rFonts w:hint="eastAsia"/>
          <w:i/>
          <w:iCs/>
          <w:color w:val="000000"/>
          <w:kern w:val="2"/>
          <w:lang w:eastAsia="zh-CN"/>
        </w:rPr>
        <w:t>Antenna port(s)</w:t>
      </w:r>
      <w:r w:rsidRPr="00B01DFD">
        <w:rPr>
          <w:i/>
          <w:iCs/>
          <w:color w:val="000000"/>
          <w:kern w:val="2"/>
          <w:lang w:eastAsia="zh-CN"/>
        </w:rPr>
        <w:t xml:space="preserve"> (0 or 4/5/6 bits)</w:t>
      </w:r>
    </w:p>
    <w:p w14:paraId="6DEE6DB5" w14:textId="77777777" w:rsidR="00B01DFD" w:rsidRPr="00B01DFD" w:rsidRDefault="00B01DFD" w:rsidP="00B01DFD">
      <w:pPr>
        <w:pStyle w:val="ListParagraph"/>
        <w:numPr>
          <w:ilvl w:val="1"/>
          <w:numId w:val="16"/>
        </w:numPr>
        <w:autoSpaceDE w:val="0"/>
        <w:autoSpaceDN w:val="0"/>
        <w:adjustRightInd w:val="0"/>
        <w:snapToGrid w:val="0"/>
        <w:spacing w:after="120"/>
        <w:ind w:left="2225"/>
        <w:rPr>
          <w:i/>
          <w:iCs/>
          <w:color w:val="000000"/>
          <w:kern w:val="2"/>
          <w:lang w:eastAsia="zh-CN"/>
        </w:rPr>
      </w:pPr>
      <w:r w:rsidRPr="00B01DFD">
        <w:rPr>
          <w:i/>
          <w:iCs/>
          <w:color w:val="000000"/>
          <w:kern w:val="2"/>
          <w:lang w:eastAsia="zh-CN"/>
        </w:rPr>
        <w:t>New RRC configuration parameters are introduced for this configuration</w:t>
      </w:r>
    </w:p>
    <w:p w14:paraId="6EF3B402"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i/>
          <w:iCs/>
          <w:color w:val="000000"/>
          <w:kern w:val="2"/>
          <w:lang w:eastAsia="zh-CN"/>
        </w:rPr>
        <w:t>Transmission configuration indication (0 or 3 bits)</w:t>
      </w:r>
    </w:p>
    <w:p w14:paraId="164DA94A" w14:textId="77777777" w:rsidR="00B01DFD" w:rsidRPr="00B01DFD" w:rsidRDefault="00B01DFD" w:rsidP="00B01DFD">
      <w:pPr>
        <w:pStyle w:val="ListParagraph"/>
        <w:numPr>
          <w:ilvl w:val="1"/>
          <w:numId w:val="16"/>
        </w:numPr>
        <w:autoSpaceDE w:val="0"/>
        <w:autoSpaceDN w:val="0"/>
        <w:adjustRightInd w:val="0"/>
        <w:snapToGrid w:val="0"/>
        <w:spacing w:after="120"/>
        <w:ind w:left="2225"/>
        <w:rPr>
          <w:i/>
          <w:iCs/>
          <w:color w:val="000000"/>
          <w:kern w:val="2"/>
          <w:lang w:eastAsia="zh-CN"/>
        </w:rPr>
      </w:pPr>
      <w:r w:rsidRPr="00B01DFD">
        <w:rPr>
          <w:i/>
          <w:iCs/>
          <w:color w:val="000000"/>
          <w:kern w:val="2"/>
          <w:lang w:eastAsia="zh-CN"/>
        </w:rPr>
        <w:t>FFS 1 or 2 bits</w:t>
      </w:r>
    </w:p>
    <w:p w14:paraId="3C643966"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i/>
          <w:iCs/>
          <w:color w:val="000000"/>
          <w:kern w:val="2"/>
          <w:lang w:eastAsia="zh-CN"/>
        </w:rPr>
        <w:t>SRS request (0 or 2 or 3 bits)</w:t>
      </w:r>
    </w:p>
    <w:p w14:paraId="6BFADCC3" w14:textId="77777777" w:rsidR="00B01DFD" w:rsidRPr="00B01DFD" w:rsidRDefault="00B01DFD" w:rsidP="00B01DFD">
      <w:pPr>
        <w:pStyle w:val="ListParagraph"/>
        <w:numPr>
          <w:ilvl w:val="1"/>
          <w:numId w:val="16"/>
        </w:numPr>
        <w:autoSpaceDE w:val="0"/>
        <w:autoSpaceDN w:val="0"/>
        <w:adjustRightInd w:val="0"/>
        <w:snapToGrid w:val="0"/>
        <w:spacing w:after="120"/>
        <w:ind w:left="2225"/>
        <w:rPr>
          <w:i/>
          <w:iCs/>
          <w:color w:val="000000"/>
          <w:kern w:val="2"/>
          <w:lang w:eastAsia="zh-CN"/>
        </w:rPr>
      </w:pPr>
      <w:r w:rsidRPr="00B01DFD">
        <w:rPr>
          <w:i/>
          <w:iCs/>
          <w:color w:val="000000"/>
          <w:kern w:val="2"/>
          <w:lang w:eastAsia="zh-CN"/>
        </w:rPr>
        <w:t>FFS 1 bit</w:t>
      </w:r>
    </w:p>
    <w:p w14:paraId="11F41576"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rFonts w:hint="eastAsia"/>
          <w:i/>
          <w:iCs/>
          <w:color w:val="000000"/>
          <w:kern w:val="2"/>
          <w:lang w:eastAsia="zh-CN"/>
        </w:rPr>
        <w:t>D</w:t>
      </w:r>
      <w:r w:rsidRPr="00B01DFD">
        <w:rPr>
          <w:i/>
          <w:iCs/>
          <w:color w:val="000000"/>
          <w:kern w:val="2"/>
          <w:lang w:eastAsia="zh-CN"/>
        </w:rPr>
        <w:t xml:space="preserve">MRS sequence initialization (0 or 1 bit) </w:t>
      </w:r>
    </w:p>
    <w:p w14:paraId="5BE803A4" w14:textId="77777777" w:rsidR="00B01DFD" w:rsidRPr="00B01DFD" w:rsidRDefault="00B01DFD" w:rsidP="00B01DFD">
      <w:pPr>
        <w:ind w:left="720"/>
        <w:rPr>
          <w:i/>
          <w:lang w:eastAsia="x-none"/>
        </w:rPr>
      </w:pPr>
    </w:p>
    <w:p w14:paraId="6EE0981F"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3938CC88" w14:textId="77777777" w:rsidR="00B01DFD" w:rsidRPr="00B01DFD" w:rsidRDefault="00B01DFD" w:rsidP="00B01DFD">
      <w:pPr>
        <w:ind w:left="720"/>
        <w:rPr>
          <w:i/>
          <w:color w:val="000000"/>
          <w:kern w:val="2"/>
          <w:lang w:eastAsia="zh-CN"/>
        </w:rPr>
      </w:pPr>
      <w:r w:rsidRPr="00B01DFD">
        <w:rPr>
          <w:i/>
          <w:color w:val="000000"/>
          <w:kern w:val="2"/>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530B4D34"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color w:val="000000"/>
          <w:kern w:val="2"/>
          <w:lang w:eastAsia="zh-CN"/>
        </w:rPr>
      </w:pPr>
      <w:r w:rsidRPr="00B01DFD">
        <w:rPr>
          <w:i/>
          <w:color w:val="000000"/>
          <w:kern w:val="2"/>
          <w:lang w:eastAsia="zh-CN"/>
        </w:rPr>
        <w:t xml:space="preserve">If not configured, the granularity is 1 PRB. </w:t>
      </w:r>
    </w:p>
    <w:p w14:paraId="739DAEE3"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color w:val="000000"/>
          <w:kern w:val="2"/>
          <w:lang w:eastAsia="zh-CN"/>
        </w:rPr>
      </w:pPr>
      <w:r w:rsidRPr="00B01DFD">
        <w:rPr>
          <w:i/>
          <w:color w:val="000000"/>
          <w:kern w:val="2"/>
          <w:lang w:eastAsia="zh-CN"/>
        </w:rPr>
        <w:t>FFS other possible values</w:t>
      </w:r>
    </w:p>
    <w:p w14:paraId="034B22FE"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748A2CBB" w14:textId="77777777" w:rsidR="00B01DFD" w:rsidRPr="00B01DFD" w:rsidRDefault="00B01DFD" w:rsidP="00B01DFD">
      <w:pPr>
        <w:ind w:left="720"/>
        <w:rPr>
          <w:i/>
          <w:lang w:eastAsia="x-none"/>
        </w:rPr>
      </w:pPr>
      <w:r w:rsidRPr="00B01DFD">
        <w:rPr>
          <w:i/>
          <w:iCs/>
          <w:color w:val="000000"/>
          <w:kern w:val="2"/>
          <w:lang w:eastAsia="zh-CN"/>
        </w:rPr>
        <w:lastRenderedPageBreak/>
        <w:t>For the new DCI format for UL scheduling for Rel-16 URLLC, support new RRC configuration for CSI Request and the corresponding table:</w:t>
      </w:r>
    </w:p>
    <w:p w14:paraId="73E3068E" w14:textId="77777777" w:rsidR="00B01DFD" w:rsidRPr="00B01DFD" w:rsidRDefault="00B01DFD" w:rsidP="00B01DFD">
      <w:pPr>
        <w:numPr>
          <w:ilvl w:val="0"/>
          <w:numId w:val="8"/>
        </w:numPr>
        <w:spacing w:after="0"/>
        <w:ind w:left="1440"/>
        <w:rPr>
          <w:i/>
        </w:rPr>
      </w:pPr>
      <w:r w:rsidRPr="00B01DFD">
        <w:rPr>
          <w:i/>
        </w:rPr>
        <w:t>#of bits: 0 or 1 or 2 or 3 or 4 or 5 or 6 bits, derived the same way as that of Rel-15 non-fallback DCI</w:t>
      </w:r>
    </w:p>
    <w:p w14:paraId="677F79D5" w14:textId="77777777" w:rsidR="00B01DFD" w:rsidRPr="00B01DFD" w:rsidRDefault="00B01DFD" w:rsidP="00B01DFD">
      <w:pPr>
        <w:ind w:left="720"/>
        <w:rPr>
          <w:i/>
          <w:iCs/>
          <w:color w:val="000000"/>
          <w:kern w:val="2"/>
          <w:lang w:eastAsia="zh-CN"/>
        </w:rPr>
      </w:pPr>
    </w:p>
    <w:p w14:paraId="49716071"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1D8DAD63"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For the new DCI format for UL scheduling for Rel-16 URLLC, support configurable number of bits for the following fields:</w:t>
      </w:r>
    </w:p>
    <w:p w14:paraId="5F417CBD"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i/>
          <w:iCs/>
          <w:color w:val="000000"/>
          <w:kern w:val="2"/>
          <w:lang w:eastAsia="zh-CN"/>
        </w:rPr>
        <w:t>SRS resource indicator (0 or 1 or 2 or 3 or 4 bits)</w:t>
      </w:r>
    </w:p>
    <w:p w14:paraId="6E5B4D54" w14:textId="77777777" w:rsidR="00B01DFD" w:rsidRPr="00B01DFD" w:rsidRDefault="00B01DFD" w:rsidP="00B01DFD">
      <w:pPr>
        <w:pStyle w:val="ListParagraph"/>
        <w:numPr>
          <w:ilvl w:val="1"/>
          <w:numId w:val="16"/>
        </w:numPr>
        <w:autoSpaceDE w:val="0"/>
        <w:autoSpaceDN w:val="0"/>
        <w:adjustRightInd w:val="0"/>
        <w:snapToGrid w:val="0"/>
        <w:spacing w:after="120"/>
        <w:ind w:left="2225"/>
        <w:rPr>
          <w:i/>
          <w:iCs/>
          <w:color w:val="000000"/>
          <w:kern w:val="2"/>
          <w:lang w:eastAsia="zh-CN"/>
        </w:rPr>
      </w:pPr>
      <w:r w:rsidRPr="00B01DFD">
        <w:rPr>
          <w:i/>
          <w:iCs/>
          <w:color w:val="000000"/>
          <w:kern w:val="2"/>
          <w:lang w:eastAsia="zh-CN"/>
        </w:rPr>
        <w:t>FFS details of configuration</w:t>
      </w:r>
    </w:p>
    <w:p w14:paraId="3FB27438"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i/>
          <w:iCs/>
          <w:color w:val="000000"/>
          <w:kern w:val="2"/>
          <w:lang w:eastAsia="zh-CN"/>
        </w:rPr>
        <w:t>Precoding information and number of layers (</w:t>
      </w:r>
      <w:r w:rsidRPr="00B01DFD">
        <w:rPr>
          <w:rFonts w:hint="eastAsia"/>
          <w:i/>
          <w:iCs/>
          <w:color w:val="000000"/>
          <w:kern w:val="2"/>
          <w:lang w:eastAsia="zh-CN"/>
        </w:rPr>
        <w:t>0</w:t>
      </w:r>
      <w:r w:rsidRPr="00B01DFD">
        <w:rPr>
          <w:i/>
          <w:iCs/>
          <w:color w:val="000000"/>
          <w:kern w:val="2"/>
          <w:lang w:eastAsia="zh-CN"/>
        </w:rPr>
        <w:t xml:space="preserve"> or 1 or 2 or 3 or 4 or 5 or 6 bits)</w:t>
      </w:r>
    </w:p>
    <w:p w14:paraId="3C2166FB" w14:textId="77777777" w:rsidR="00B01DFD" w:rsidRPr="00B01DFD" w:rsidRDefault="00B01DFD" w:rsidP="00B01DFD">
      <w:pPr>
        <w:pStyle w:val="ListParagraph"/>
        <w:numPr>
          <w:ilvl w:val="1"/>
          <w:numId w:val="16"/>
        </w:numPr>
        <w:autoSpaceDE w:val="0"/>
        <w:autoSpaceDN w:val="0"/>
        <w:adjustRightInd w:val="0"/>
        <w:snapToGrid w:val="0"/>
        <w:spacing w:after="120"/>
        <w:ind w:left="2225"/>
        <w:rPr>
          <w:i/>
          <w:iCs/>
          <w:color w:val="000000"/>
          <w:kern w:val="2"/>
          <w:lang w:eastAsia="zh-CN"/>
        </w:rPr>
      </w:pPr>
      <w:r w:rsidRPr="00B01DFD">
        <w:rPr>
          <w:i/>
          <w:iCs/>
          <w:color w:val="000000"/>
          <w:kern w:val="2"/>
          <w:lang w:eastAsia="zh-CN"/>
        </w:rPr>
        <w:t>FFS details of configuration</w:t>
      </w:r>
    </w:p>
    <w:p w14:paraId="68786E78"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rFonts w:hint="eastAsia"/>
          <w:i/>
          <w:iCs/>
          <w:color w:val="000000"/>
          <w:kern w:val="2"/>
          <w:lang w:eastAsia="zh-CN"/>
        </w:rPr>
        <w:t>Antenna port(s)</w:t>
      </w:r>
      <w:r w:rsidRPr="00B01DFD">
        <w:rPr>
          <w:i/>
          <w:iCs/>
          <w:color w:val="000000"/>
          <w:kern w:val="2"/>
          <w:lang w:eastAsia="zh-CN"/>
        </w:rPr>
        <w:t xml:space="preserve"> (0 or 2 or 3 or 4 or 5 bits)</w:t>
      </w:r>
    </w:p>
    <w:p w14:paraId="6F32CFC7" w14:textId="77777777" w:rsidR="00B01DFD" w:rsidRPr="00B01DFD" w:rsidRDefault="00B01DFD" w:rsidP="00B01DFD">
      <w:pPr>
        <w:pStyle w:val="ListParagraph"/>
        <w:numPr>
          <w:ilvl w:val="1"/>
          <w:numId w:val="16"/>
        </w:numPr>
        <w:autoSpaceDE w:val="0"/>
        <w:autoSpaceDN w:val="0"/>
        <w:adjustRightInd w:val="0"/>
        <w:snapToGrid w:val="0"/>
        <w:spacing w:after="120"/>
        <w:ind w:left="2225"/>
        <w:rPr>
          <w:i/>
          <w:iCs/>
          <w:color w:val="000000"/>
          <w:kern w:val="2"/>
          <w:lang w:eastAsia="zh-CN"/>
        </w:rPr>
      </w:pPr>
      <w:r w:rsidRPr="00B01DFD">
        <w:rPr>
          <w:i/>
          <w:iCs/>
          <w:color w:val="000000"/>
          <w:kern w:val="2"/>
          <w:lang w:eastAsia="zh-CN"/>
        </w:rPr>
        <w:t>FFS details of configuration</w:t>
      </w:r>
    </w:p>
    <w:p w14:paraId="0B59EB80"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i/>
          <w:iCs/>
          <w:color w:val="000000"/>
          <w:kern w:val="2"/>
          <w:lang w:eastAsia="zh-CN"/>
        </w:rPr>
        <w:t>SRS request (0 or 2 or 3 bits)</w:t>
      </w:r>
    </w:p>
    <w:p w14:paraId="13AC37B0" w14:textId="77777777" w:rsidR="00B01DFD" w:rsidRPr="00B01DFD" w:rsidRDefault="00B01DFD" w:rsidP="00B01DFD">
      <w:pPr>
        <w:pStyle w:val="ListParagraph"/>
        <w:numPr>
          <w:ilvl w:val="1"/>
          <w:numId w:val="16"/>
        </w:numPr>
        <w:autoSpaceDE w:val="0"/>
        <w:autoSpaceDN w:val="0"/>
        <w:adjustRightInd w:val="0"/>
        <w:snapToGrid w:val="0"/>
        <w:spacing w:after="120"/>
        <w:ind w:left="2225"/>
        <w:rPr>
          <w:i/>
          <w:iCs/>
          <w:color w:val="000000"/>
          <w:kern w:val="2"/>
          <w:lang w:eastAsia="zh-CN"/>
        </w:rPr>
      </w:pPr>
      <w:r w:rsidRPr="00B01DFD">
        <w:rPr>
          <w:i/>
          <w:iCs/>
          <w:color w:val="000000"/>
          <w:kern w:val="2"/>
          <w:lang w:eastAsia="zh-CN"/>
        </w:rPr>
        <w:t>FFS details of configuration</w:t>
      </w:r>
    </w:p>
    <w:p w14:paraId="50E11887"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rFonts w:hint="eastAsia"/>
          <w:i/>
          <w:iCs/>
          <w:color w:val="000000"/>
          <w:kern w:val="2"/>
          <w:lang w:eastAsia="zh-CN"/>
        </w:rPr>
        <w:t>D</w:t>
      </w:r>
      <w:r w:rsidRPr="00B01DFD">
        <w:rPr>
          <w:i/>
          <w:iCs/>
          <w:color w:val="000000"/>
          <w:kern w:val="2"/>
          <w:lang w:eastAsia="zh-CN"/>
        </w:rPr>
        <w:t xml:space="preserve">MRS sequence initialization (0 or 1 bit) </w:t>
      </w:r>
    </w:p>
    <w:p w14:paraId="6676D8B8" w14:textId="77777777" w:rsidR="00B01DFD" w:rsidRPr="00B01DFD" w:rsidRDefault="00B01DFD" w:rsidP="00B01DFD">
      <w:pPr>
        <w:pStyle w:val="ListParagraph"/>
        <w:numPr>
          <w:ilvl w:val="1"/>
          <w:numId w:val="16"/>
        </w:numPr>
        <w:autoSpaceDE w:val="0"/>
        <w:autoSpaceDN w:val="0"/>
        <w:adjustRightInd w:val="0"/>
        <w:snapToGrid w:val="0"/>
        <w:spacing w:after="120"/>
        <w:ind w:left="2225"/>
        <w:rPr>
          <w:i/>
          <w:iCs/>
          <w:color w:val="000000"/>
          <w:kern w:val="2"/>
          <w:lang w:eastAsia="zh-CN"/>
        </w:rPr>
      </w:pPr>
      <w:r w:rsidRPr="00B01DFD">
        <w:rPr>
          <w:i/>
          <w:iCs/>
          <w:color w:val="000000"/>
          <w:kern w:val="2"/>
          <w:lang w:eastAsia="zh-CN"/>
        </w:rPr>
        <w:t>New RRC parameter is introduced to configure whether this field is present in the DCI or not</w:t>
      </w:r>
    </w:p>
    <w:p w14:paraId="7864F756" w14:textId="77777777" w:rsidR="00B01DFD" w:rsidRPr="00B01DFD" w:rsidRDefault="00B01DFD" w:rsidP="00B01DFD">
      <w:pPr>
        <w:pStyle w:val="ListParagraph"/>
        <w:numPr>
          <w:ilvl w:val="1"/>
          <w:numId w:val="16"/>
        </w:numPr>
        <w:autoSpaceDE w:val="0"/>
        <w:autoSpaceDN w:val="0"/>
        <w:adjustRightInd w:val="0"/>
        <w:snapToGrid w:val="0"/>
        <w:spacing w:after="120"/>
        <w:ind w:left="2225"/>
        <w:rPr>
          <w:i/>
          <w:iCs/>
          <w:color w:val="000000"/>
          <w:kern w:val="2"/>
          <w:lang w:eastAsia="zh-CN"/>
        </w:rPr>
      </w:pPr>
      <w:r w:rsidRPr="00B01DFD">
        <w:rPr>
          <w:i/>
          <w:iCs/>
          <w:color w:val="000000"/>
          <w:kern w:val="2"/>
          <w:lang w:eastAsia="zh-CN"/>
        </w:rPr>
        <w:t>If the field is present, then the number of bits is determined in the same way as in Rel-15</w:t>
      </w:r>
    </w:p>
    <w:p w14:paraId="54719F0B"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i/>
          <w:iCs/>
          <w:color w:val="000000"/>
          <w:kern w:val="2"/>
          <w:lang w:eastAsia="zh-CN"/>
        </w:rPr>
        <w:t>DMRS-PTRS association (0 or 2 bits)</w:t>
      </w:r>
    </w:p>
    <w:p w14:paraId="25EF4C21" w14:textId="77777777" w:rsidR="00B01DFD" w:rsidRPr="00B01DFD" w:rsidRDefault="00B01DFD" w:rsidP="00B01DFD">
      <w:pPr>
        <w:pStyle w:val="ListParagraph"/>
        <w:numPr>
          <w:ilvl w:val="1"/>
          <w:numId w:val="16"/>
        </w:numPr>
        <w:autoSpaceDE w:val="0"/>
        <w:autoSpaceDN w:val="0"/>
        <w:adjustRightInd w:val="0"/>
        <w:snapToGrid w:val="0"/>
        <w:spacing w:after="120"/>
        <w:ind w:left="2225"/>
        <w:rPr>
          <w:i/>
          <w:iCs/>
          <w:color w:val="000000"/>
          <w:kern w:val="2"/>
          <w:lang w:eastAsia="zh-CN"/>
        </w:rPr>
      </w:pPr>
      <w:r w:rsidRPr="00B01DFD">
        <w:rPr>
          <w:i/>
          <w:iCs/>
          <w:color w:val="000000"/>
          <w:kern w:val="2"/>
          <w:lang w:eastAsia="zh-CN"/>
        </w:rPr>
        <w:t>FFS details of configuration</w:t>
      </w:r>
    </w:p>
    <w:p w14:paraId="68484D60"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38CD4F57"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 xml:space="preserve">Support configurable number of bits (0 or 1 bit) for “Frequency hopping flag” in the new DCI format for UL scheduling for Rel-16 URLLC. </w:t>
      </w:r>
    </w:p>
    <w:p w14:paraId="376992EC" w14:textId="77777777" w:rsidR="00B01DFD" w:rsidRPr="00B01DFD" w:rsidRDefault="00B01DFD" w:rsidP="00B01DFD">
      <w:pPr>
        <w:pStyle w:val="ListParagraph"/>
        <w:numPr>
          <w:ilvl w:val="0"/>
          <w:numId w:val="16"/>
        </w:numPr>
        <w:autoSpaceDE w:val="0"/>
        <w:autoSpaceDN w:val="0"/>
        <w:adjustRightInd w:val="0"/>
        <w:snapToGrid w:val="0"/>
        <w:spacing w:after="120"/>
        <w:ind w:left="1505"/>
        <w:jc w:val="both"/>
        <w:rPr>
          <w:i/>
          <w:iCs/>
          <w:color w:val="000000"/>
          <w:kern w:val="2"/>
          <w:lang w:eastAsia="zh-CN"/>
        </w:rPr>
      </w:pPr>
      <w:r w:rsidRPr="00B01DFD">
        <w:rPr>
          <w:i/>
          <w:iCs/>
          <w:color w:val="000000"/>
          <w:kern w:val="2"/>
          <w:lang w:eastAsia="zh-CN"/>
        </w:rPr>
        <w:t xml:space="preserve">New RRC parameter is introduced to configure frequency hopping, and the number of bits is determined as the same way in Rel-15   </w:t>
      </w:r>
    </w:p>
    <w:p w14:paraId="68364B29"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05EE6586"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Support “BWP indicator (0 or 1 or 2 bits)” in the new DCI formats scheduling Rel-16 URLLC in the same way as in Rel-15.</w:t>
      </w:r>
    </w:p>
    <w:p w14:paraId="25B9824C" w14:textId="77777777" w:rsidR="00B01DFD" w:rsidRPr="00B01DFD" w:rsidRDefault="00B01DFD" w:rsidP="00B01DFD">
      <w:pPr>
        <w:pStyle w:val="ListParagraph"/>
        <w:numPr>
          <w:ilvl w:val="0"/>
          <w:numId w:val="16"/>
        </w:numPr>
        <w:autoSpaceDE w:val="0"/>
        <w:autoSpaceDN w:val="0"/>
        <w:adjustRightInd w:val="0"/>
        <w:snapToGrid w:val="0"/>
        <w:spacing w:after="120"/>
        <w:ind w:left="1505"/>
        <w:jc w:val="both"/>
        <w:rPr>
          <w:i/>
          <w:iCs/>
          <w:color w:val="000000"/>
          <w:kern w:val="2"/>
          <w:lang w:eastAsia="zh-CN"/>
        </w:rPr>
      </w:pPr>
      <w:r w:rsidRPr="00B01DFD">
        <w:rPr>
          <w:i/>
          <w:iCs/>
          <w:color w:val="000000"/>
          <w:kern w:val="2"/>
          <w:lang w:eastAsia="zh-CN"/>
        </w:rPr>
        <w:t xml:space="preserve">Same RRC parameters as that for DCI format 0_1/1_1 are used for this configuration.  </w:t>
      </w:r>
    </w:p>
    <w:p w14:paraId="58C8756D" w14:textId="77777777" w:rsidR="00B01DFD" w:rsidRPr="00B01DFD" w:rsidRDefault="00B01DFD" w:rsidP="00B01DFD">
      <w:pPr>
        <w:ind w:left="720"/>
        <w:rPr>
          <w:i/>
          <w:lang w:eastAsia="x-none"/>
        </w:rPr>
      </w:pPr>
    </w:p>
    <w:p w14:paraId="1D4DABF2"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47CA121E" w14:textId="77777777" w:rsidR="00B01DFD" w:rsidRPr="00B01DFD" w:rsidRDefault="00B01DFD" w:rsidP="00B01DFD">
      <w:pPr>
        <w:ind w:left="720"/>
        <w:rPr>
          <w:i/>
          <w:iCs/>
          <w:color w:val="000000"/>
          <w:kern w:val="2"/>
          <w:lang w:eastAsia="zh-CN"/>
        </w:rPr>
      </w:pPr>
      <w:r w:rsidRPr="00B01DFD">
        <w:rPr>
          <w:i/>
          <w:iCs/>
          <w:color w:val="000000"/>
          <w:kern w:val="2"/>
          <w:lang w:eastAsia="zh-CN"/>
        </w:rPr>
        <w:t xml:space="preserve">Support “TPC command for scheduled PUCCH (2 bits)” in the new DCI format for DL scheduling for Rel-16 URLLC in the same way as in </w:t>
      </w:r>
      <w:bookmarkStart w:id="2" w:name="_Hlk22339633"/>
      <w:r w:rsidRPr="00B01DFD">
        <w:rPr>
          <w:i/>
          <w:iCs/>
          <w:color w:val="000000"/>
          <w:kern w:val="2"/>
          <w:lang w:eastAsia="zh-CN"/>
        </w:rPr>
        <w:t>Rel-15 DCI format 1_0/1_1</w:t>
      </w:r>
      <w:bookmarkEnd w:id="2"/>
      <w:r w:rsidRPr="00B01DFD">
        <w:rPr>
          <w:i/>
          <w:iCs/>
          <w:color w:val="000000"/>
          <w:kern w:val="2"/>
          <w:lang w:eastAsia="zh-CN"/>
        </w:rPr>
        <w:t>.</w:t>
      </w:r>
    </w:p>
    <w:p w14:paraId="2E25F35F" w14:textId="77777777" w:rsidR="00B01DFD" w:rsidRPr="00B01DFD" w:rsidRDefault="00B01DFD" w:rsidP="00B01DFD">
      <w:pPr>
        <w:ind w:left="720"/>
        <w:rPr>
          <w:i/>
          <w:lang w:eastAsia="x-none"/>
        </w:rPr>
      </w:pPr>
    </w:p>
    <w:p w14:paraId="00F661A0"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070BF000"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Support “TPC command for scheduled PUSCH (2 bits)” in the new DCI format for UL scheduling for Rel-16 URLLC in the same way as in Rel-15 DCI format 0_0/0_1.</w:t>
      </w:r>
    </w:p>
    <w:p w14:paraId="7002DE4E" w14:textId="77777777" w:rsidR="00B01DFD" w:rsidRPr="00B01DFD" w:rsidRDefault="00B01DFD" w:rsidP="00B01DFD">
      <w:pPr>
        <w:ind w:left="720"/>
        <w:rPr>
          <w:i/>
          <w:lang w:eastAsia="x-none"/>
        </w:rPr>
      </w:pPr>
    </w:p>
    <w:p w14:paraId="3917456B"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4CCEEB78"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Support the HARQ process number field in the new DCI format in DL and in the new DCI format in UL to be additionally configurable to 0 or 1 bit.</w:t>
      </w:r>
    </w:p>
    <w:p w14:paraId="392C2D04"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i/>
          <w:iCs/>
          <w:color w:val="000000"/>
          <w:kern w:val="2"/>
          <w:lang w:eastAsia="zh-CN"/>
        </w:rPr>
        <w:t>The values of the HARQ process number field can map from 0 to 2</w:t>
      </w:r>
      <w:proofErr w:type="gramStart"/>
      <w:r w:rsidRPr="00B01DFD">
        <w:rPr>
          <w:i/>
          <w:iCs/>
          <w:color w:val="000000"/>
          <w:kern w:val="2"/>
          <w:lang w:eastAsia="zh-CN"/>
        </w:rPr>
        <w:t>^(</w:t>
      </w:r>
      <w:proofErr w:type="gramEnd"/>
      <w:r w:rsidRPr="00B01DFD">
        <w:rPr>
          <w:i/>
          <w:iCs/>
          <w:color w:val="000000"/>
          <w:kern w:val="2"/>
          <w:lang w:eastAsia="zh-CN"/>
        </w:rPr>
        <w:t xml:space="preserve">the number of bits)-1. </w:t>
      </w:r>
    </w:p>
    <w:p w14:paraId="6EC7C4CC" w14:textId="77777777" w:rsidR="00B01DFD" w:rsidRPr="00B01DFD" w:rsidRDefault="00B01DFD" w:rsidP="00B01DFD">
      <w:pPr>
        <w:pStyle w:val="ListParagraph"/>
        <w:numPr>
          <w:ilvl w:val="0"/>
          <w:numId w:val="16"/>
        </w:numPr>
        <w:autoSpaceDE w:val="0"/>
        <w:autoSpaceDN w:val="0"/>
        <w:adjustRightInd w:val="0"/>
        <w:snapToGrid w:val="0"/>
        <w:spacing w:after="120"/>
        <w:ind w:left="1505"/>
        <w:rPr>
          <w:i/>
          <w:iCs/>
          <w:color w:val="000000"/>
          <w:kern w:val="2"/>
          <w:lang w:eastAsia="zh-CN"/>
        </w:rPr>
      </w:pPr>
      <w:r w:rsidRPr="00B01DFD">
        <w:rPr>
          <w:i/>
          <w:iCs/>
          <w:color w:val="000000"/>
          <w:kern w:val="2"/>
          <w:lang w:eastAsia="zh-CN"/>
        </w:rPr>
        <w:t>Note: no additional specification effort for configuring 0 bit or 1 bit is expected</w:t>
      </w:r>
    </w:p>
    <w:p w14:paraId="00D5B7DB" w14:textId="77777777" w:rsidR="00B01DFD" w:rsidRPr="00B01DFD" w:rsidRDefault="00B01DFD" w:rsidP="00B01DFD">
      <w:pPr>
        <w:spacing w:after="60"/>
        <w:ind w:left="720"/>
        <w:rPr>
          <w:i/>
          <w:iCs/>
          <w:color w:val="000000"/>
          <w:kern w:val="2"/>
          <w:lang w:eastAsia="zh-CN"/>
        </w:rPr>
      </w:pPr>
      <w:r w:rsidRPr="00B01DFD">
        <w:rPr>
          <w:i/>
          <w:iCs/>
          <w:color w:val="000000"/>
          <w:kern w:val="2"/>
          <w:highlight w:val="green"/>
          <w:lang w:eastAsia="zh-CN"/>
        </w:rPr>
        <w:t>Agreements</w:t>
      </w:r>
      <w:r w:rsidRPr="00B01DFD">
        <w:rPr>
          <w:i/>
          <w:iCs/>
          <w:color w:val="000000"/>
          <w:kern w:val="2"/>
          <w:lang w:eastAsia="zh-CN"/>
        </w:rPr>
        <w:t>:</w:t>
      </w:r>
    </w:p>
    <w:p w14:paraId="21FAF5D9"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lastRenderedPageBreak/>
        <w:t>Reuse the same non-configurable 1 bit of “UL-SCH indicator” as in</w:t>
      </w:r>
      <w:r w:rsidRPr="00B01DFD">
        <w:rPr>
          <w:i/>
        </w:rPr>
        <w:t xml:space="preserve"> </w:t>
      </w:r>
      <w:r w:rsidRPr="00B01DFD">
        <w:rPr>
          <w:i/>
          <w:iCs/>
          <w:color w:val="000000"/>
          <w:kern w:val="2"/>
          <w:lang w:eastAsia="zh-CN"/>
        </w:rPr>
        <w:t xml:space="preserve">Rel-15 DCI format 0_1 for the new DCI format for UL scheduling </w:t>
      </w:r>
    </w:p>
    <w:p w14:paraId="33B63C88" w14:textId="77777777" w:rsidR="00B01DFD" w:rsidRPr="00B01DFD" w:rsidRDefault="00B01DFD" w:rsidP="00B01DFD">
      <w:pPr>
        <w:ind w:left="720"/>
        <w:rPr>
          <w:i/>
          <w:strike/>
          <w:color w:val="FF0000"/>
          <w:lang w:eastAsia="x-none"/>
        </w:rPr>
      </w:pPr>
    </w:p>
    <w:p w14:paraId="713D034F" w14:textId="77777777" w:rsidR="00B01DFD" w:rsidRPr="00B01DFD" w:rsidRDefault="00B01DFD" w:rsidP="00B01DFD">
      <w:pPr>
        <w:ind w:left="720"/>
        <w:rPr>
          <w:i/>
          <w:lang w:eastAsia="x-none"/>
        </w:rPr>
      </w:pPr>
      <w:r w:rsidRPr="00B01DFD">
        <w:rPr>
          <w:i/>
          <w:highlight w:val="green"/>
          <w:lang w:eastAsia="x-none"/>
        </w:rPr>
        <w:t>Agreements</w:t>
      </w:r>
      <w:r w:rsidRPr="00B01DFD">
        <w:rPr>
          <w:i/>
          <w:lang w:eastAsia="x-none"/>
        </w:rPr>
        <w:t>:</w:t>
      </w:r>
    </w:p>
    <w:p w14:paraId="4CB4E459" w14:textId="77777777" w:rsidR="00B01DFD" w:rsidRPr="00B01DFD" w:rsidRDefault="00B01DFD" w:rsidP="00B01DFD">
      <w:pPr>
        <w:spacing w:after="60"/>
        <w:ind w:left="720"/>
        <w:rPr>
          <w:i/>
          <w:color w:val="000000"/>
          <w:kern w:val="2"/>
          <w:lang w:eastAsia="zh-CN"/>
        </w:rPr>
      </w:pPr>
      <w:r w:rsidRPr="00B01DFD">
        <w:rPr>
          <w:i/>
          <w:color w:val="000000"/>
          <w:kern w:val="2"/>
          <w:lang w:eastAsia="zh-CN"/>
        </w:rPr>
        <w:t xml:space="preserve">Support “UL/SUL indicator (0 or 1 bit)” in the new DCI format for UL scheduling for Rel-16 URLLC as in Rel-15 DCI format 0_1. </w:t>
      </w:r>
    </w:p>
    <w:p w14:paraId="52A9091E" w14:textId="77777777" w:rsidR="00B01DFD" w:rsidRPr="00B01DFD" w:rsidRDefault="00B01DFD" w:rsidP="00B01DFD">
      <w:pPr>
        <w:pStyle w:val="ListParagraph"/>
        <w:numPr>
          <w:ilvl w:val="0"/>
          <w:numId w:val="16"/>
        </w:numPr>
        <w:autoSpaceDE w:val="0"/>
        <w:autoSpaceDN w:val="0"/>
        <w:adjustRightInd w:val="0"/>
        <w:snapToGrid w:val="0"/>
        <w:spacing w:after="120"/>
        <w:ind w:left="1505"/>
        <w:jc w:val="both"/>
        <w:rPr>
          <w:i/>
          <w:color w:val="000000"/>
          <w:kern w:val="2"/>
          <w:lang w:eastAsia="zh-CN"/>
        </w:rPr>
      </w:pPr>
      <w:r w:rsidRPr="00B01DFD">
        <w:rPr>
          <w:i/>
          <w:color w:val="000000"/>
          <w:kern w:val="2"/>
          <w:lang w:eastAsia="zh-CN"/>
        </w:rPr>
        <w:t xml:space="preserve">Same RRC configuration for DCI format 0_1 and the new DCI format for UL scheduling </w:t>
      </w:r>
    </w:p>
    <w:p w14:paraId="39CF951F" w14:textId="77777777" w:rsidR="00B01DFD" w:rsidRPr="00B01DFD" w:rsidRDefault="00B01DFD" w:rsidP="00B01DFD">
      <w:pPr>
        <w:ind w:left="720"/>
        <w:rPr>
          <w:i/>
          <w:strike/>
          <w:color w:val="FF0000"/>
          <w:lang w:eastAsia="x-none"/>
        </w:rPr>
      </w:pPr>
    </w:p>
    <w:p w14:paraId="58AD5DD7" w14:textId="77777777" w:rsidR="00B01DFD" w:rsidRPr="00B01DFD" w:rsidRDefault="00B01DFD" w:rsidP="00B01DFD">
      <w:pPr>
        <w:ind w:left="720"/>
        <w:rPr>
          <w:i/>
        </w:rPr>
      </w:pPr>
      <w:r w:rsidRPr="00B01DFD">
        <w:rPr>
          <w:i/>
          <w:highlight w:val="green"/>
        </w:rPr>
        <w:t>Agreements</w:t>
      </w:r>
      <w:r w:rsidRPr="00B01DFD">
        <w:rPr>
          <w:i/>
        </w:rPr>
        <w:t>:</w:t>
      </w:r>
    </w:p>
    <w:p w14:paraId="0DF5F120"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 xml:space="preserve">Support configurable size for “PUCCH resource indicator (0 or 1 or 2 or 3 bits)” for the new DCI format for DL scheduling.  </w:t>
      </w:r>
    </w:p>
    <w:p w14:paraId="2F30214F" w14:textId="77777777" w:rsidR="00B01DFD" w:rsidRPr="00B01DFD" w:rsidRDefault="00B01DFD" w:rsidP="00B01DFD">
      <w:pPr>
        <w:pStyle w:val="ListParagraph"/>
        <w:numPr>
          <w:ilvl w:val="0"/>
          <w:numId w:val="16"/>
        </w:numPr>
        <w:autoSpaceDE w:val="0"/>
        <w:autoSpaceDN w:val="0"/>
        <w:adjustRightInd w:val="0"/>
        <w:snapToGrid w:val="0"/>
        <w:spacing w:after="120"/>
        <w:ind w:left="1505"/>
        <w:jc w:val="both"/>
        <w:rPr>
          <w:i/>
          <w:iCs/>
          <w:color w:val="000000"/>
          <w:kern w:val="2"/>
          <w:lang w:eastAsia="zh-CN"/>
        </w:rPr>
      </w:pPr>
      <w:r w:rsidRPr="00B01DFD">
        <w:rPr>
          <w:i/>
          <w:iCs/>
          <w:color w:val="000000"/>
          <w:kern w:val="2"/>
          <w:lang w:eastAsia="zh-CN"/>
        </w:rPr>
        <w:t>New RRC parameter is introduced to for the configuration</w:t>
      </w:r>
    </w:p>
    <w:p w14:paraId="647A8E84" w14:textId="77777777" w:rsidR="00B01DFD" w:rsidRPr="00B01DFD" w:rsidRDefault="00B01DFD" w:rsidP="00B01DFD">
      <w:pPr>
        <w:ind w:left="720"/>
        <w:rPr>
          <w:i/>
        </w:rPr>
      </w:pPr>
      <w:r w:rsidRPr="00B01DFD">
        <w:rPr>
          <w:i/>
          <w:highlight w:val="green"/>
        </w:rPr>
        <w:t>Agreements</w:t>
      </w:r>
      <w:r w:rsidRPr="00B01DFD">
        <w:rPr>
          <w:i/>
        </w:rPr>
        <w:t>:</w:t>
      </w:r>
    </w:p>
    <w:p w14:paraId="4CBA4E58"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Support configurable size for “</w:t>
      </w:r>
      <w:r w:rsidRPr="00B01DFD">
        <w:rPr>
          <w:rFonts w:hint="eastAsia"/>
          <w:i/>
          <w:iCs/>
          <w:color w:val="000000"/>
          <w:kern w:val="2"/>
          <w:lang w:eastAsia="zh-CN"/>
        </w:rPr>
        <w:t>P</w:t>
      </w:r>
      <w:r w:rsidRPr="00B01DFD">
        <w:rPr>
          <w:i/>
          <w:iCs/>
          <w:color w:val="000000"/>
          <w:kern w:val="2"/>
          <w:lang w:eastAsia="zh-CN"/>
        </w:rPr>
        <w:t>DSCH-to-</w:t>
      </w:r>
      <w:proofErr w:type="spellStart"/>
      <w:r w:rsidRPr="00B01DFD">
        <w:rPr>
          <w:i/>
          <w:iCs/>
          <w:color w:val="000000"/>
          <w:kern w:val="2"/>
          <w:lang w:eastAsia="zh-CN"/>
        </w:rPr>
        <w:t>HARQ_feedback</w:t>
      </w:r>
      <w:proofErr w:type="spellEnd"/>
      <w:r w:rsidRPr="00B01DFD">
        <w:rPr>
          <w:i/>
          <w:iCs/>
          <w:color w:val="000000"/>
          <w:kern w:val="2"/>
          <w:lang w:eastAsia="zh-CN"/>
        </w:rPr>
        <w:t xml:space="preserve"> timing indicator (0 or 1 or 2 or 3 bits)” for the new DCI format for DL scheduling.  </w:t>
      </w:r>
    </w:p>
    <w:p w14:paraId="225C717E" w14:textId="77777777" w:rsidR="00B01DFD" w:rsidRPr="00B01DFD" w:rsidRDefault="00B01DFD" w:rsidP="00B01DFD">
      <w:pPr>
        <w:pStyle w:val="ListParagraph"/>
        <w:numPr>
          <w:ilvl w:val="0"/>
          <w:numId w:val="16"/>
        </w:numPr>
        <w:autoSpaceDE w:val="0"/>
        <w:autoSpaceDN w:val="0"/>
        <w:adjustRightInd w:val="0"/>
        <w:snapToGrid w:val="0"/>
        <w:spacing w:after="120"/>
        <w:ind w:left="1505"/>
        <w:jc w:val="both"/>
        <w:rPr>
          <w:i/>
          <w:iCs/>
          <w:color w:val="000000"/>
          <w:kern w:val="2"/>
          <w:lang w:eastAsia="zh-CN"/>
        </w:rPr>
      </w:pPr>
      <w:r w:rsidRPr="00B01DFD">
        <w:rPr>
          <w:i/>
          <w:iCs/>
          <w:color w:val="000000"/>
          <w:kern w:val="2"/>
          <w:lang w:eastAsia="zh-CN"/>
        </w:rPr>
        <w:t>New RRC parameter is introduced to for the configuration</w:t>
      </w:r>
    </w:p>
    <w:p w14:paraId="4F7ABB59" w14:textId="77777777" w:rsidR="00B01DFD" w:rsidRPr="00B01DFD" w:rsidRDefault="00B01DFD" w:rsidP="00B01DFD">
      <w:pPr>
        <w:ind w:left="720"/>
        <w:rPr>
          <w:i/>
        </w:rPr>
      </w:pPr>
    </w:p>
    <w:p w14:paraId="32723799" w14:textId="77777777" w:rsidR="00B01DFD" w:rsidRPr="00B01DFD" w:rsidRDefault="00B01DFD" w:rsidP="00B01DFD">
      <w:pPr>
        <w:ind w:left="720"/>
        <w:rPr>
          <w:i/>
        </w:rPr>
      </w:pPr>
      <w:r w:rsidRPr="00B01DFD">
        <w:rPr>
          <w:i/>
          <w:highlight w:val="green"/>
        </w:rPr>
        <w:t>Agreements</w:t>
      </w:r>
      <w:r w:rsidRPr="00B01DFD">
        <w:rPr>
          <w:i/>
        </w:rPr>
        <w:t>:</w:t>
      </w:r>
    </w:p>
    <w:p w14:paraId="62CBC27F" w14:textId="77777777" w:rsidR="00B01DFD" w:rsidRPr="00B01DFD" w:rsidRDefault="00B01DFD" w:rsidP="00B01DFD">
      <w:pPr>
        <w:spacing w:after="60"/>
        <w:ind w:left="720"/>
        <w:rPr>
          <w:i/>
          <w:color w:val="000000"/>
          <w:kern w:val="2"/>
          <w:lang w:eastAsia="zh-CN"/>
        </w:rPr>
      </w:pPr>
      <w:r w:rsidRPr="00B01DFD">
        <w:rPr>
          <w:i/>
          <w:color w:val="000000"/>
          <w:kern w:val="2"/>
          <w:lang w:eastAsia="zh-CN"/>
        </w:rPr>
        <w:t xml:space="preserve">Support configurable size for “beta offset indicator (0 or 1 or 2 bits)” for the new DCI format for UL scheduling.  </w:t>
      </w:r>
    </w:p>
    <w:p w14:paraId="3DF15AC7" w14:textId="77777777" w:rsidR="00B01DFD" w:rsidRPr="00B01DFD" w:rsidRDefault="00B01DFD" w:rsidP="00B01DFD">
      <w:pPr>
        <w:pStyle w:val="ListParagraph"/>
        <w:numPr>
          <w:ilvl w:val="0"/>
          <w:numId w:val="16"/>
        </w:numPr>
        <w:autoSpaceDE w:val="0"/>
        <w:autoSpaceDN w:val="0"/>
        <w:adjustRightInd w:val="0"/>
        <w:snapToGrid w:val="0"/>
        <w:spacing w:after="120"/>
        <w:ind w:left="1505"/>
        <w:jc w:val="both"/>
        <w:rPr>
          <w:i/>
          <w:color w:val="000000"/>
          <w:kern w:val="2"/>
          <w:lang w:eastAsia="zh-CN"/>
        </w:rPr>
      </w:pPr>
      <w:r w:rsidRPr="00B01DFD">
        <w:rPr>
          <w:i/>
          <w:color w:val="000000"/>
          <w:kern w:val="2"/>
          <w:lang w:eastAsia="zh-CN"/>
        </w:rPr>
        <w:t>New RRC parameter is introduced to for the configuration</w:t>
      </w:r>
    </w:p>
    <w:p w14:paraId="6F34598F" w14:textId="77777777" w:rsidR="00B01DFD" w:rsidRPr="00B01DFD" w:rsidRDefault="00B01DFD" w:rsidP="00B01DFD">
      <w:pPr>
        <w:ind w:left="720"/>
        <w:rPr>
          <w:i/>
        </w:rPr>
      </w:pPr>
      <w:r w:rsidRPr="00B01DFD">
        <w:rPr>
          <w:i/>
          <w:highlight w:val="green"/>
        </w:rPr>
        <w:t>Agreements</w:t>
      </w:r>
      <w:r w:rsidRPr="00B01DFD">
        <w:rPr>
          <w:i/>
        </w:rPr>
        <w:t>:</w:t>
      </w:r>
    </w:p>
    <w:p w14:paraId="465CB7EA"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 xml:space="preserve">Support configurable size for “Downlink assignment index (0 or 1 or 2 or 4 bits)” for the new DCI format for UL scheduling.  </w:t>
      </w:r>
    </w:p>
    <w:p w14:paraId="6E085450" w14:textId="77777777" w:rsidR="00B01DFD" w:rsidRPr="00B01DFD" w:rsidRDefault="00B01DFD" w:rsidP="00B01DFD">
      <w:pPr>
        <w:pStyle w:val="ListParagraph"/>
        <w:numPr>
          <w:ilvl w:val="0"/>
          <w:numId w:val="16"/>
        </w:numPr>
        <w:autoSpaceDE w:val="0"/>
        <w:autoSpaceDN w:val="0"/>
        <w:adjustRightInd w:val="0"/>
        <w:snapToGrid w:val="0"/>
        <w:spacing w:after="120"/>
        <w:ind w:left="1505"/>
        <w:jc w:val="both"/>
        <w:rPr>
          <w:i/>
          <w:iCs/>
          <w:color w:val="000000"/>
          <w:kern w:val="2"/>
          <w:lang w:eastAsia="zh-CN"/>
        </w:rPr>
      </w:pPr>
      <w:r w:rsidRPr="00B01DFD">
        <w:rPr>
          <w:i/>
          <w:iCs/>
          <w:color w:val="000000"/>
          <w:kern w:val="2"/>
          <w:lang w:eastAsia="zh-CN"/>
        </w:rPr>
        <w:t>New RRC parameter is introduced to for the configuration</w:t>
      </w:r>
    </w:p>
    <w:p w14:paraId="509765C4" w14:textId="77777777" w:rsidR="00B01DFD" w:rsidRPr="00B01DFD" w:rsidRDefault="00B01DFD" w:rsidP="00B01DFD">
      <w:pPr>
        <w:ind w:left="720"/>
        <w:rPr>
          <w:i/>
        </w:rPr>
      </w:pPr>
    </w:p>
    <w:p w14:paraId="5B27EED6" w14:textId="77777777" w:rsidR="00B01DFD" w:rsidRPr="00B01DFD" w:rsidRDefault="00B01DFD" w:rsidP="00B01DFD">
      <w:pPr>
        <w:ind w:left="720"/>
        <w:rPr>
          <w:i/>
        </w:rPr>
      </w:pPr>
      <w:r w:rsidRPr="00B01DFD">
        <w:rPr>
          <w:i/>
          <w:highlight w:val="green"/>
        </w:rPr>
        <w:t>Agreements</w:t>
      </w:r>
      <w:r w:rsidRPr="00B01DFD">
        <w:rPr>
          <w:i/>
        </w:rPr>
        <w:t>:</w:t>
      </w:r>
    </w:p>
    <w:p w14:paraId="26027165" w14:textId="77777777" w:rsidR="00B01DFD" w:rsidRPr="00B01DFD" w:rsidRDefault="00B01DFD" w:rsidP="00B01DFD">
      <w:pPr>
        <w:spacing w:after="60"/>
        <w:ind w:left="720"/>
        <w:rPr>
          <w:i/>
          <w:iCs/>
          <w:color w:val="000000"/>
          <w:kern w:val="2"/>
          <w:lang w:eastAsia="zh-CN"/>
        </w:rPr>
      </w:pPr>
      <w:r w:rsidRPr="00B01DFD">
        <w:rPr>
          <w:i/>
          <w:iCs/>
          <w:color w:val="000000"/>
          <w:kern w:val="2"/>
          <w:lang w:eastAsia="zh-CN"/>
        </w:rPr>
        <w:t xml:space="preserve">Support configurable size for “Downlink assignment index (0 or 1 or 2 or 4 bits)” for the new DCI format for DL scheduling.  </w:t>
      </w:r>
    </w:p>
    <w:p w14:paraId="46C4E783" w14:textId="77777777" w:rsidR="00B01DFD" w:rsidRPr="00B01DFD" w:rsidRDefault="00B01DFD" w:rsidP="00B01DFD">
      <w:pPr>
        <w:pStyle w:val="ListParagraph"/>
        <w:numPr>
          <w:ilvl w:val="0"/>
          <w:numId w:val="16"/>
        </w:numPr>
        <w:autoSpaceDE w:val="0"/>
        <w:autoSpaceDN w:val="0"/>
        <w:adjustRightInd w:val="0"/>
        <w:snapToGrid w:val="0"/>
        <w:spacing w:after="120"/>
        <w:ind w:left="1505"/>
        <w:jc w:val="both"/>
        <w:rPr>
          <w:i/>
          <w:iCs/>
          <w:color w:val="000000"/>
          <w:kern w:val="2"/>
          <w:lang w:eastAsia="zh-CN"/>
        </w:rPr>
      </w:pPr>
      <w:r w:rsidRPr="00B01DFD">
        <w:rPr>
          <w:i/>
          <w:iCs/>
          <w:color w:val="000000"/>
          <w:kern w:val="2"/>
          <w:lang w:eastAsia="zh-CN"/>
        </w:rPr>
        <w:t>New RRC parameter is introduced to for the configuration</w:t>
      </w:r>
    </w:p>
    <w:p w14:paraId="526C1908" w14:textId="643E4279" w:rsidR="0025781D" w:rsidRDefault="0025781D" w:rsidP="0025781D">
      <w:pPr>
        <w:rPr>
          <w:lang w:val="en-US" w:eastAsia="x-none"/>
        </w:rPr>
      </w:pPr>
    </w:p>
    <w:p w14:paraId="4388FABE" w14:textId="4468A67B" w:rsidR="00B01DFD" w:rsidRDefault="00B01DFD" w:rsidP="0025781D">
      <w:pPr>
        <w:rPr>
          <w:lang w:val="en-US" w:eastAsia="x-none"/>
        </w:rPr>
      </w:pPr>
      <w:r>
        <w:rPr>
          <w:lang w:val="en-US" w:eastAsia="x-none"/>
        </w:rPr>
        <w:t>In an email discussion [9</w:t>
      </w:r>
      <w:r w:rsidR="00A94B87">
        <w:rPr>
          <w:lang w:val="en-US" w:eastAsia="x-none"/>
        </w:rPr>
        <w:t>8</w:t>
      </w:r>
      <w:r>
        <w:rPr>
          <w:lang w:val="en-US" w:eastAsia="x-none"/>
        </w:rPr>
        <w:t>b-NR-22] we agreed the following:</w:t>
      </w:r>
    </w:p>
    <w:p w14:paraId="4B753CC8" w14:textId="77777777" w:rsidR="002366AD" w:rsidRPr="002366AD" w:rsidRDefault="002366AD" w:rsidP="002366AD">
      <w:pPr>
        <w:spacing w:after="60"/>
        <w:ind w:left="425"/>
        <w:rPr>
          <w:i/>
          <w:sz w:val="20"/>
        </w:rPr>
      </w:pPr>
      <w:r w:rsidRPr="002366AD">
        <w:rPr>
          <w:i/>
          <w:color w:val="000000"/>
        </w:rPr>
        <w:t>For time domain resource allocation indication for PDSCH for Rel-16 URLLC in new DCI format, using the starting symbol of the PDCCH monitoring occasion in which the DL assignment is detected as the reference of the SLIV is supported.</w:t>
      </w:r>
    </w:p>
    <w:p w14:paraId="6BA99D38" w14:textId="77777777" w:rsidR="002366AD" w:rsidRPr="002366AD" w:rsidRDefault="002366AD" w:rsidP="002366AD">
      <w:pPr>
        <w:numPr>
          <w:ilvl w:val="0"/>
          <w:numId w:val="17"/>
        </w:numPr>
        <w:autoSpaceDE w:val="0"/>
        <w:autoSpaceDN w:val="0"/>
        <w:snapToGrid w:val="0"/>
        <w:spacing w:after="0"/>
        <w:ind w:left="1207" w:hanging="357"/>
        <w:jc w:val="both"/>
        <w:rPr>
          <w:i/>
        </w:rPr>
      </w:pPr>
      <w:proofErr w:type="gramStart"/>
      <w:r w:rsidRPr="002366AD">
        <w:rPr>
          <w:i/>
        </w:rPr>
        <w:t>A</w:t>
      </w:r>
      <w:proofErr w:type="gramEnd"/>
      <w:r w:rsidRPr="002366AD">
        <w:rPr>
          <w:i/>
        </w:rPr>
        <w:t xml:space="preserve"> RRC parameter is used to enable the utilization of the new reference  </w:t>
      </w:r>
    </w:p>
    <w:p w14:paraId="65016201" w14:textId="77777777" w:rsidR="002366AD" w:rsidRPr="00D671A1" w:rsidRDefault="002366AD" w:rsidP="002366AD">
      <w:pPr>
        <w:numPr>
          <w:ilvl w:val="0"/>
          <w:numId w:val="17"/>
        </w:numPr>
        <w:autoSpaceDE w:val="0"/>
        <w:autoSpaceDN w:val="0"/>
        <w:snapToGrid w:val="0"/>
        <w:spacing w:after="0"/>
        <w:ind w:left="1207" w:hanging="357"/>
        <w:jc w:val="both"/>
        <w:rPr>
          <w:i/>
        </w:rPr>
      </w:pPr>
      <w:r w:rsidRPr="00D671A1">
        <w:rPr>
          <w:i/>
        </w:rPr>
        <w:t>When the RRC parameter enables the utilization of the new reference, the new reference is applied for TDRA entries with K0=0</w:t>
      </w:r>
    </w:p>
    <w:p w14:paraId="0119B987" w14:textId="77777777" w:rsidR="002366AD" w:rsidRPr="00D671A1" w:rsidRDefault="002366AD" w:rsidP="002366AD">
      <w:pPr>
        <w:numPr>
          <w:ilvl w:val="1"/>
          <w:numId w:val="17"/>
        </w:numPr>
        <w:autoSpaceDE w:val="0"/>
        <w:autoSpaceDN w:val="0"/>
        <w:snapToGrid w:val="0"/>
        <w:spacing w:after="0"/>
        <w:ind w:left="1930"/>
        <w:jc w:val="both"/>
        <w:rPr>
          <w:i/>
        </w:rPr>
      </w:pPr>
      <w:r w:rsidRPr="00D671A1">
        <w:rPr>
          <w:rFonts w:eastAsiaTheme="minorEastAsia"/>
          <w:i/>
          <w:lang w:eastAsia="zh-CN"/>
        </w:rPr>
        <w:t xml:space="preserve">FFS: Other entries with K0&gt;0 can also be included in the same TDRA table </w:t>
      </w:r>
    </w:p>
    <w:p w14:paraId="52EF1881" w14:textId="77777777" w:rsidR="002366AD" w:rsidRPr="00D671A1" w:rsidRDefault="002366AD" w:rsidP="002366AD">
      <w:pPr>
        <w:numPr>
          <w:ilvl w:val="2"/>
          <w:numId w:val="17"/>
        </w:numPr>
        <w:autoSpaceDE w:val="0"/>
        <w:autoSpaceDN w:val="0"/>
        <w:snapToGrid w:val="0"/>
        <w:spacing w:after="0"/>
        <w:ind w:left="2650"/>
        <w:jc w:val="both"/>
        <w:rPr>
          <w:rFonts w:eastAsiaTheme="minorEastAsia"/>
          <w:i/>
          <w:lang w:eastAsia="zh-CN"/>
        </w:rPr>
      </w:pPr>
      <w:r w:rsidRPr="00D671A1">
        <w:rPr>
          <w:rFonts w:eastAsiaTheme="minorEastAsia"/>
          <w:i/>
          <w:lang w:eastAsia="zh-CN"/>
        </w:rPr>
        <w:t>For other entries (if any) in the same TDRA table, the reference is slot boundary as in Rel-15.</w:t>
      </w:r>
    </w:p>
    <w:p w14:paraId="398BEA00" w14:textId="77777777" w:rsidR="002366AD" w:rsidRPr="002366AD" w:rsidRDefault="002366AD" w:rsidP="002366AD">
      <w:pPr>
        <w:rPr>
          <w:rFonts w:eastAsia="Times New Roman"/>
          <w:i/>
          <w:color w:val="000000"/>
        </w:rPr>
      </w:pPr>
    </w:p>
    <w:p w14:paraId="369893F8" w14:textId="77777777" w:rsidR="002366AD" w:rsidRPr="002366AD" w:rsidRDefault="002366AD" w:rsidP="002366AD">
      <w:pPr>
        <w:ind w:left="720"/>
        <w:rPr>
          <w:i/>
          <w:sz w:val="20"/>
        </w:rPr>
      </w:pPr>
      <w:r w:rsidRPr="002366AD">
        <w:rPr>
          <w:i/>
        </w:rPr>
        <w:t xml:space="preserve">PDSCH mapping type A is not supported with the new reference. </w:t>
      </w:r>
    </w:p>
    <w:p w14:paraId="60BFAD08" w14:textId="345DED17" w:rsidR="00B01DFD" w:rsidRDefault="00B01DFD" w:rsidP="0025781D">
      <w:pPr>
        <w:rPr>
          <w:lang w:val="en-US" w:eastAsia="x-none"/>
        </w:rPr>
      </w:pPr>
    </w:p>
    <w:p w14:paraId="422FF475" w14:textId="39AAB067" w:rsidR="00855F39" w:rsidRDefault="004D5BF4" w:rsidP="00855F39">
      <w:pPr>
        <w:rPr>
          <w:rFonts w:eastAsia="MS Mincho"/>
          <w:lang w:val="en-US"/>
        </w:rPr>
      </w:pPr>
      <w:r>
        <w:rPr>
          <w:rFonts w:eastAsia="MS Mincho"/>
          <w:lang w:val="en-US"/>
        </w:rPr>
        <w:lastRenderedPageBreak/>
        <w:t xml:space="preserve">This contribution </w:t>
      </w:r>
      <w:r w:rsidR="007C5797">
        <w:rPr>
          <w:rFonts w:eastAsia="MS Mincho"/>
          <w:lang w:val="en-US"/>
        </w:rPr>
        <w:t xml:space="preserve">considers </w:t>
      </w:r>
      <w:r w:rsidR="00103160">
        <w:rPr>
          <w:rFonts w:eastAsia="MS Mincho"/>
          <w:lang w:val="en-US"/>
        </w:rPr>
        <w:t xml:space="preserve">some remaining issues on </w:t>
      </w:r>
      <w:r w:rsidR="0025781D">
        <w:rPr>
          <w:rFonts w:eastAsia="MS Mincho"/>
          <w:lang w:val="en-US"/>
        </w:rPr>
        <w:t>P</w:t>
      </w:r>
      <w:r w:rsidR="00B01DFD">
        <w:rPr>
          <w:rFonts w:eastAsia="MS Mincho"/>
          <w:lang w:val="en-US"/>
        </w:rPr>
        <w:t>DCC</w:t>
      </w:r>
      <w:r w:rsidR="0025781D">
        <w:rPr>
          <w:rFonts w:eastAsia="MS Mincho"/>
          <w:lang w:val="en-US"/>
        </w:rPr>
        <w:t xml:space="preserve">H enhancements for </w:t>
      </w:r>
      <w:proofErr w:type="spellStart"/>
      <w:r w:rsidR="0025781D">
        <w:rPr>
          <w:rFonts w:eastAsia="MS Mincho"/>
          <w:lang w:val="en-US"/>
        </w:rPr>
        <w:t>eURLLC</w:t>
      </w:r>
      <w:proofErr w:type="spellEnd"/>
      <w:r w:rsidR="00AF500B">
        <w:rPr>
          <w:rFonts w:eastAsia="MS Mincho"/>
          <w:lang w:val="en-US"/>
        </w:rPr>
        <w:t>.</w:t>
      </w:r>
      <w:r w:rsidR="00855F39">
        <w:rPr>
          <w:rFonts w:eastAsia="MS Mincho"/>
          <w:lang w:val="en-US"/>
        </w:rPr>
        <w:t xml:space="preserve">  </w:t>
      </w:r>
    </w:p>
    <w:p w14:paraId="1C8EA0B4" w14:textId="7B368A3E"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55FAE49C" w14:textId="68DA29F0" w:rsidR="004C3C5C" w:rsidRDefault="004C3C5C" w:rsidP="004C3C5C">
      <w:pPr>
        <w:rPr>
          <w:rFonts w:eastAsia="MS Mincho"/>
          <w:lang w:val="en-US"/>
        </w:rPr>
      </w:pPr>
      <w:r>
        <w:rPr>
          <w:rFonts w:eastAsia="MS Mincho"/>
          <w:lang w:val="en-US"/>
        </w:rPr>
        <w:t>The DCI fields agreed to be considered for size reduction [1] are:</w:t>
      </w:r>
    </w:p>
    <w:p w14:paraId="15210D04" w14:textId="609C7085" w:rsidR="004C3C5C" w:rsidRPr="004C3C5C" w:rsidRDefault="004C3C5C" w:rsidP="004C3C5C">
      <w:pPr>
        <w:pStyle w:val="ListParagraph"/>
        <w:numPr>
          <w:ilvl w:val="0"/>
          <w:numId w:val="16"/>
        </w:numPr>
        <w:autoSpaceDE w:val="0"/>
        <w:autoSpaceDN w:val="0"/>
        <w:adjustRightInd w:val="0"/>
        <w:snapToGrid w:val="0"/>
        <w:spacing w:after="120"/>
        <w:ind w:left="720"/>
        <w:rPr>
          <w:color w:val="000000"/>
          <w:kern w:val="2"/>
          <w:lang w:eastAsia="zh-CN"/>
        </w:rPr>
      </w:pPr>
      <w:r w:rsidRPr="004C3C5C">
        <w:rPr>
          <w:color w:val="000000"/>
          <w:kern w:val="2"/>
          <w:lang w:eastAsia="zh-CN"/>
        </w:rPr>
        <w:t>Frequency domain resource assignment (FDRA) (</w:t>
      </w:r>
      <w:r w:rsidRPr="004C3C5C">
        <w:rPr>
          <w:i/>
          <w:color w:val="000000"/>
          <w:kern w:val="2"/>
          <w:lang w:eastAsia="zh-CN"/>
        </w:rPr>
        <w:t>agreed for Type 1 RA in RAN1#98bis</w:t>
      </w:r>
      <w:r w:rsidRPr="004C3C5C">
        <w:rPr>
          <w:color w:val="000000"/>
          <w:kern w:val="2"/>
          <w:lang w:eastAsia="zh-CN"/>
        </w:rPr>
        <w:t>)</w:t>
      </w:r>
    </w:p>
    <w:p w14:paraId="2FFD0BD9" w14:textId="63DF25A3" w:rsidR="004C3C5C" w:rsidRPr="004C3C5C" w:rsidRDefault="004C3C5C" w:rsidP="004C3C5C">
      <w:pPr>
        <w:pStyle w:val="ListParagraph"/>
        <w:numPr>
          <w:ilvl w:val="0"/>
          <w:numId w:val="16"/>
        </w:numPr>
        <w:autoSpaceDE w:val="0"/>
        <w:autoSpaceDN w:val="0"/>
        <w:adjustRightInd w:val="0"/>
        <w:snapToGrid w:val="0"/>
        <w:spacing w:after="120"/>
        <w:ind w:left="720"/>
        <w:rPr>
          <w:color w:val="000000"/>
          <w:kern w:val="2"/>
          <w:lang w:eastAsia="zh-CN"/>
        </w:rPr>
      </w:pPr>
      <w:r w:rsidRPr="004C3C5C">
        <w:rPr>
          <w:color w:val="000000"/>
          <w:kern w:val="2"/>
          <w:lang w:eastAsia="zh-CN"/>
        </w:rPr>
        <w:t>Time domain resource assignment (TDRA)</w:t>
      </w:r>
    </w:p>
    <w:p w14:paraId="19BC62EB" w14:textId="77777777" w:rsidR="004C3C5C" w:rsidRPr="004C3C5C" w:rsidRDefault="004C3C5C" w:rsidP="004C3C5C">
      <w:pPr>
        <w:pStyle w:val="ListParagraph"/>
        <w:numPr>
          <w:ilvl w:val="0"/>
          <w:numId w:val="16"/>
        </w:numPr>
        <w:autoSpaceDE w:val="0"/>
        <w:autoSpaceDN w:val="0"/>
        <w:adjustRightInd w:val="0"/>
        <w:snapToGrid w:val="0"/>
        <w:spacing w:after="120"/>
        <w:ind w:left="720"/>
        <w:rPr>
          <w:color w:val="000000"/>
          <w:kern w:val="2"/>
          <w:lang w:eastAsia="zh-CN"/>
        </w:rPr>
      </w:pPr>
      <w:r w:rsidRPr="004C3C5C">
        <w:rPr>
          <w:color w:val="000000"/>
          <w:kern w:val="2"/>
          <w:lang w:eastAsia="zh-CN"/>
        </w:rPr>
        <w:t>Modulation and coding scheme (MCS)</w:t>
      </w:r>
    </w:p>
    <w:p w14:paraId="6B2B981A" w14:textId="77777777" w:rsidR="004C3C5C" w:rsidRPr="004C3C5C" w:rsidRDefault="004C3C5C" w:rsidP="004C3C5C">
      <w:pPr>
        <w:pStyle w:val="ListParagraph"/>
        <w:numPr>
          <w:ilvl w:val="0"/>
          <w:numId w:val="16"/>
        </w:numPr>
        <w:autoSpaceDE w:val="0"/>
        <w:autoSpaceDN w:val="0"/>
        <w:adjustRightInd w:val="0"/>
        <w:snapToGrid w:val="0"/>
        <w:spacing w:after="120"/>
        <w:ind w:left="720"/>
        <w:rPr>
          <w:color w:val="000000"/>
          <w:kern w:val="2"/>
          <w:lang w:eastAsia="zh-CN"/>
        </w:rPr>
      </w:pPr>
      <w:r w:rsidRPr="004C3C5C">
        <w:rPr>
          <w:color w:val="000000"/>
          <w:kern w:val="2"/>
          <w:lang w:eastAsia="zh-CN"/>
        </w:rPr>
        <w:t>HARQ process number (</w:t>
      </w:r>
      <w:r w:rsidRPr="004C3C5C">
        <w:rPr>
          <w:i/>
          <w:color w:val="000000"/>
          <w:kern w:val="2"/>
          <w:lang w:eastAsia="zh-CN"/>
        </w:rPr>
        <w:t>agreed in RAN1#98</w:t>
      </w:r>
      <w:r w:rsidRPr="004C3C5C">
        <w:rPr>
          <w:color w:val="000000"/>
          <w:kern w:val="2"/>
          <w:lang w:eastAsia="zh-CN"/>
        </w:rPr>
        <w:t>)</w:t>
      </w:r>
    </w:p>
    <w:p w14:paraId="02770945" w14:textId="3BF71CC3" w:rsidR="004C3C5C" w:rsidRPr="004C3C5C" w:rsidRDefault="004C3C5C" w:rsidP="004C3C5C">
      <w:pPr>
        <w:pStyle w:val="ListParagraph"/>
        <w:numPr>
          <w:ilvl w:val="0"/>
          <w:numId w:val="16"/>
        </w:numPr>
        <w:autoSpaceDE w:val="0"/>
        <w:autoSpaceDN w:val="0"/>
        <w:adjustRightInd w:val="0"/>
        <w:snapToGrid w:val="0"/>
        <w:spacing w:after="120"/>
        <w:ind w:left="720"/>
        <w:rPr>
          <w:color w:val="000000"/>
          <w:kern w:val="2"/>
          <w:lang w:eastAsia="zh-CN"/>
        </w:rPr>
      </w:pPr>
      <w:r w:rsidRPr="004C3C5C">
        <w:rPr>
          <w:color w:val="000000"/>
          <w:kern w:val="2"/>
          <w:lang w:eastAsia="zh-CN"/>
        </w:rPr>
        <w:t>Redundancy version (RV) (</w:t>
      </w:r>
      <w:r w:rsidRPr="004C3C5C">
        <w:rPr>
          <w:i/>
          <w:color w:val="000000"/>
          <w:kern w:val="2"/>
          <w:lang w:eastAsia="zh-CN"/>
        </w:rPr>
        <w:t>agreed in RAN1#98bis</w:t>
      </w:r>
      <w:r w:rsidRPr="004C3C5C">
        <w:rPr>
          <w:color w:val="000000"/>
          <w:kern w:val="2"/>
          <w:lang w:eastAsia="zh-CN"/>
        </w:rPr>
        <w:t>)</w:t>
      </w:r>
    </w:p>
    <w:p w14:paraId="2BAB5E3B" w14:textId="3CE4F1BC" w:rsidR="004C3C5C" w:rsidRPr="004C3C5C" w:rsidRDefault="004C3C5C" w:rsidP="004C3C5C">
      <w:pPr>
        <w:pStyle w:val="ListParagraph"/>
        <w:numPr>
          <w:ilvl w:val="0"/>
          <w:numId w:val="16"/>
        </w:numPr>
        <w:autoSpaceDE w:val="0"/>
        <w:autoSpaceDN w:val="0"/>
        <w:adjustRightInd w:val="0"/>
        <w:snapToGrid w:val="0"/>
        <w:spacing w:after="120"/>
        <w:ind w:left="720"/>
        <w:rPr>
          <w:color w:val="000000"/>
          <w:kern w:val="2"/>
          <w:lang w:eastAsia="zh-CN"/>
        </w:rPr>
      </w:pPr>
      <w:r w:rsidRPr="004C3C5C">
        <w:rPr>
          <w:color w:val="000000"/>
          <w:kern w:val="2"/>
          <w:lang w:eastAsia="zh-CN"/>
        </w:rPr>
        <w:t>PUCCH resource indicator (PRI) (</w:t>
      </w:r>
      <w:r w:rsidRPr="004C3C5C">
        <w:rPr>
          <w:i/>
          <w:color w:val="000000"/>
          <w:kern w:val="2"/>
          <w:lang w:eastAsia="zh-CN"/>
        </w:rPr>
        <w:t>agreed in RAN1#98bis</w:t>
      </w:r>
      <w:r w:rsidRPr="004C3C5C">
        <w:rPr>
          <w:color w:val="000000"/>
          <w:kern w:val="2"/>
          <w:lang w:eastAsia="zh-CN"/>
        </w:rPr>
        <w:t>)</w:t>
      </w:r>
    </w:p>
    <w:p w14:paraId="684ABFD2" w14:textId="3563D632" w:rsidR="004C3C5C" w:rsidRPr="004C3C5C" w:rsidRDefault="004C3C5C" w:rsidP="004C3C5C">
      <w:pPr>
        <w:pStyle w:val="ListParagraph"/>
        <w:numPr>
          <w:ilvl w:val="0"/>
          <w:numId w:val="16"/>
        </w:numPr>
        <w:autoSpaceDE w:val="0"/>
        <w:autoSpaceDN w:val="0"/>
        <w:adjustRightInd w:val="0"/>
        <w:snapToGrid w:val="0"/>
        <w:spacing w:after="120"/>
        <w:ind w:left="720"/>
        <w:rPr>
          <w:color w:val="000000"/>
          <w:kern w:val="2"/>
          <w:lang w:eastAsia="zh-CN"/>
        </w:rPr>
      </w:pPr>
      <w:r w:rsidRPr="004C3C5C">
        <w:rPr>
          <w:color w:val="000000"/>
          <w:kern w:val="2"/>
          <w:lang w:eastAsia="zh-CN"/>
        </w:rPr>
        <w:t>PDSCH-to-</w:t>
      </w:r>
      <w:proofErr w:type="spellStart"/>
      <w:r w:rsidRPr="004C3C5C">
        <w:rPr>
          <w:color w:val="000000"/>
          <w:kern w:val="2"/>
          <w:lang w:eastAsia="zh-CN"/>
        </w:rPr>
        <w:t>HARQ_feedback</w:t>
      </w:r>
      <w:proofErr w:type="spellEnd"/>
      <w:r w:rsidRPr="004C3C5C">
        <w:rPr>
          <w:color w:val="000000"/>
          <w:kern w:val="2"/>
          <w:lang w:eastAsia="zh-CN"/>
        </w:rPr>
        <w:t xml:space="preserve"> timing indicator (</w:t>
      </w:r>
      <w:r w:rsidRPr="004C3C5C">
        <w:rPr>
          <w:i/>
          <w:color w:val="000000"/>
          <w:kern w:val="2"/>
          <w:lang w:eastAsia="zh-CN"/>
        </w:rPr>
        <w:t>agreed in RAN1#98bis</w:t>
      </w:r>
      <w:r w:rsidRPr="004C3C5C">
        <w:rPr>
          <w:color w:val="000000"/>
          <w:kern w:val="2"/>
          <w:lang w:eastAsia="zh-CN"/>
        </w:rPr>
        <w:t>)</w:t>
      </w:r>
    </w:p>
    <w:p w14:paraId="16ADC996" w14:textId="41211AAE" w:rsidR="004C3C5C" w:rsidRPr="004C3C5C" w:rsidRDefault="004C3C5C" w:rsidP="004C3C5C">
      <w:pPr>
        <w:pStyle w:val="ListParagraph"/>
        <w:numPr>
          <w:ilvl w:val="0"/>
          <w:numId w:val="16"/>
        </w:numPr>
        <w:autoSpaceDE w:val="0"/>
        <w:autoSpaceDN w:val="0"/>
        <w:adjustRightInd w:val="0"/>
        <w:snapToGrid w:val="0"/>
        <w:spacing w:after="120"/>
        <w:ind w:left="720"/>
        <w:rPr>
          <w:color w:val="000000"/>
          <w:kern w:val="2"/>
          <w:lang w:eastAsia="zh-CN"/>
        </w:rPr>
      </w:pPr>
      <w:r w:rsidRPr="004C3C5C">
        <w:rPr>
          <w:color w:val="000000"/>
          <w:kern w:val="2"/>
          <w:lang w:eastAsia="zh-CN"/>
        </w:rPr>
        <w:t>Downlink assignment index (DAI) (</w:t>
      </w:r>
      <w:r w:rsidRPr="004C3C5C">
        <w:rPr>
          <w:i/>
          <w:color w:val="000000"/>
          <w:kern w:val="2"/>
          <w:lang w:eastAsia="zh-CN"/>
        </w:rPr>
        <w:t>agreed in RAN1#98bis</w:t>
      </w:r>
      <w:r w:rsidRPr="004C3C5C">
        <w:rPr>
          <w:color w:val="000000"/>
          <w:kern w:val="2"/>
          <w:lang w:eastAsia="zh-CN"/>
        </w:rPr>
        <w:t>)</w:t>
      </w:r>
    </w:p>
    <w:p w14:paraId="241B415B" w14:textId="77777777" w:rsidR="004C3C5C" w:rsidRDefault="004C3C5C" w:rsidP="004C3C5C">
      <w:pPr>
        <w:rPr>
          <w:rFonts w:eastAsia="MS Mincho"/>
          <w:lang w:val="en-US"/>
        </w:rPr>
      </w:pPr>
    </w:p>
    <w:p w14:paraId="44A70CEF" w14:textId="27901EAA" w:rsidR="004C3C5C" w:rsidRDefault="004C3C5C" w:rsidP="004C3C5C">
      <w:pPr>
        <w:rPr>
          <w:rFonts w:eastAsia="MS Mincho"/>
          <w:lang w:val="en-US"/>
        </w:rPr>
      </w:pPr>
      <w:r>
        <w:rPr>
          <w:rFonts w:eastAsia="MS Mincho"/>
          <w:lang w:val="en-US"/>
        </w:rPr>
        <w:t xml:space="preserve">The field size for </w:t>
      </w:r>
      <w:r w:rsidRPr="004C3C5C">
        <w:rPr>
          <w:rFonts w:eastAsia="MS Mincho"/>
          <w:i/>
          <w:lang w:val="en-US"/>
        </w:rPr>
        <w:t>HARQ process number</w:t>
      </w:r>
      <w:r>
        <w:rPr>
          <w:rFonts w:eastAsia="MS Mincho"/>
          <w:lang w:val="en-US"/>
        </w:rPr>
        <w:t xml:space="preserve"> was agreed in RAN1#98 whilst those for </w:t>
      </w:r>
      <w:r w:rsidRPr="004C3C5C">
        <w:rPr>
          <w:rFonts w:eastAsia="MS Mincho"/>
          <w:i/>
          <w:lang w:val="en-US"/>
        </w:rPr>
        <w:t>RV, PRI, PDSCH-to-</w:t>
      </w:r>
      <w:proofErr w:type="spellStart"/>
      <w:r w:rsidRPr="004C3C5C">
        <w:rPr>
          <w:rFonts w:eastAsia="MS Mincho"/>
          <w:i/>
          <w:lang w:val="en-US"/>
        </w:rPr>
        <w:t>HARQ_feedback</w:t>
      </w:r>
      <w:proofErr w:type="spellEnd"/>
      <w:r w:rsidRPr="004C3C5C">
        <w:rPr>
          <w:rFonts w:eastAsia="MS Mincho"/>
          <w:i/>
          <w:lang w:val="en-US"/>
        </w:rPr>
        <w:t xml:space="preserve"> timing indicator</w:t>
      </w:r>
      <w:r>
        <w:rPr>
          <w:rFonts w:eastAsia="MS Mincho"/>
          <w:lang w:val="en-US"/>
        </w:rPr>
        <w:t xml:space="preserve"> and </w:t>
      </w:r>
      <w:r w:rsidRPr="004C3C5C">
        <w:rPr>
          <w:rFonts w:eastAsia="MS Mincho"/>
          <w:i/>
          <w:lang w:val="en-US"/>
        </w:rPr>
        <w:t>DAI</w:t>
      </w:r>
      <w:r>
        <w:rPr>
          <w:rFonts w:eastAsia="MS Mincho"/>
          <w:lang w:val="en-US"/>
        </w:rPr>
        <w:t xml:space="preserve"> were agreed in RAN1#98bis.  The remaining DCI field sizes to be considered are FDRA Type 0, TDRA and MCS.</w:t>
      </w:r>
    </w:p>
    <w:p w14:paraId="414FF305" w14:textId="77777777" w:rsidR="00FD763B" w:rsidRDefault="00FD763B" w:rsidP="00FD763B">
      <w:pPr>
        <w:rPr>
          <w:rFonts w:eastAsia="MS Mincho"/>
          <w:lang w:val="en-US"/>
        </w:rPr>
      </w:pPr>
    </w:p>
    <w:p w14:paraId="332AEE5E" w14:textId="77777777" w:rsidR="00FD763B" w:rsidRDefault="00FD763B" w:rsidP="00FD763B">
      <w:pPr>
        <w:pStyle w:val="Heading2"/>
        <w:numPr>
          <w:ilvl w:val="1"/>
          <w:numId w:val="5"/>
        </w:numPr>
        <w:rPr>
          <w:lang w:val="en-US"/>
        </w:rPr>
      </w:pPr>
      <w:r>
        <w:rPr>
          <w:color w:val="000000"/>
          <w:kern w:val="2"/>
          <w:lang w:eastAsia="zh-CN"/>
        </w:rPr>
        <w:t>Frequency Domain Resource Assignment (</w:t>
      </w:r>
      <w:r>
        <w:rPr>
          <w:lang w:val="en-US"/>
        </w:rPr>
        <w:t>FDRA)</w:t>
      </w:r>
    </w:p>
    <w:p w14:paraId="1107670A" w14:textId="77777777" w:rsidR="00FD763B" w:rsidRDefault="00FD763B" w:rsidP="00FD763B">
      <w:pPr>
        <w:rPr>
          <w:rFonts w:eastAsia="MS Mincho"/>
          <w:lang w:val="en-US"/>
        </w:rPr>
      </w:pPr>
      <w:r>
        <w:rPr>
          <w:rFonts w:eastAsia="MS Mincho"/>
          <w:lang w:val="en-US"/>
        </w:rPr>
        <w:t xml:space="preserve">Resource Allocation Type 0 allows for discontinuous allocations in the frequency domain, which can offer frequency diversity </w:t>
      </w:r>
      <w:proofErr w:type="gramStart"/>
      <w:r>
        <w:rPr>
          <w:rFonts w:eastAsia="MS Mincho"/>
          <w:lang w:val="en-US"/>
        </w:rPr>
        <w:t>and also</w:t>
      </w:r>
      <w:proofErr w:type="gramEnd"/>
      <w:r>
        <w:rPr>
          <w:rFonts w:eastAsia="MS Mincho"/>
          <w:lang w:val="en-US"/>
        </w:rPr>
        <w:t xml:space="preserve"> provides further flexibility for the </w:t>
      </w:r>
      <w:proofErr w:type="spellStart"/>
      <w:r>
        <w:rPr>
          <w:rFonts w:eastAsia="MS Mincho"/>
          <w:lang w:val="en-US"/>
        </w:rPr>
        <w:t>gNB</w:t>
      </w:r>
      <w:proofErr w:type="spellEnd"/>
      <w:r>
        <w:rPr>
          <w:rFonts w:eastAsia="MS Mincho"/>
          <w:lang w:val="en-US"/>
        </w:rPr>
        <w:t xml:space="preserve"> to minimize pre-emption.  Hence, we see a benefit to also support RA Type 0.  Since RA Type 0 already allows for different RBG sizes, no further changes are required.</w:t>
      </w:r>
    </w:p>
    <w:p w14:paraId="6408AAC5" w14:textId="57AF041E" w:rsidR="00FD763B" w:rsidRPr="0024533F" w:rsidRDefault="00FD763B" w:rsidP="00FD763B">
      <w:pPr>
        <w:rPr>
          <w:rFonts w:eastAsia="MS Mincho"/>
          <w:b/>
          <w:lang w:val="en-US"/>
        </w:rPr>
      </w:pPr>
      <w:r w:rsidRPr="0024533F">
        <w:rPr>
          <w:rFonts w:eastAsia="MS Mincho"/>
          <w:b/>
          <w:lang w:val="en-US"/>
        </w:rPr>
        <w:t xml:space="preserve">Proposal </w:t>
      </w:r>
      <w:r>
        <w:rPr>
          <w:rFonts w:eastAsia="MS Mincho"/>
          <w:b/>
          <w:lang w:val="en-US"/>
        </w:rPr>
        <w:t>1</w:t>
      </w:r>
      <w:r w:rsidRPr="0024533F">
        <w:rPr>
          <w:rFonts w:eastAsia="MS Mincho"/>
          <w:b/>
          <w:lang w:val="en-US"/>
        </w:rPr>
        <w:t>: Support Resource Allocation Type 0 for frequency domain resource assignment for the DCI format scheduling Rel-16 DL URLLC.</w:t>
      </w:r>
      <w:r>
        <w:rPr>
          <w:rFonts w:eastAsia="MS Mincho"/>
          <w:b/>
          <w:lang w:val="en-US"/>
        </w:rPr>
        <w:t xml:space="preserve">  No changes required from Rel-15.</w:t>
      </w:r>
    </w:p>
    <w:p w14:paraId="70CFE06D" w14:textId="77777777" w:rsidR="00FD763B" w:rsidRDefault="00FD763B" w:rsidP="00FD763B">
      <w:pPr>
        <w:rPr>
          <w:rFonts w:eastAsia="MS Mincho"/>
          <w:lang w:val="en-US"/>
        </w:rPr>
      </w:pPr>
    </w:p>
    <w:p w14:paraId="71E1AF47" w14:textId="77777777" w:rsidR="00FD763B" w:rsidRDefault="00FD763B" w:rsidP="00FD763B">
      <w:pPr>
        <w:pStyle w:val="Heading2"/>
        <w:numPr>
          <w:ilvl w:val="1"/>
          <w:numId w:val="5"/>
        </w:numPr>
        <w:rPr>
          <w:lang w:val="en-US"/>
        </w:rPr>
      </w:pPr>
      <w:r>
        <w:rPr>
          <w:color w:val="000000"/>
          <w:kern w:val="2"/>
          <w:lang w:eastAsia="zh-CN"/>
        </w:rPr>
        <w:t>Time Domain Resource Assignment (</w:t>
      </w:r>
      <w:r>
        <w:rPr>
          <w:lang w:val="en-US"/>
        </w:rPr>
        <w:t>TDRA)</w:t>
      </w:r>
    </w:p>
    <w:p w14:paraId="1328D088" w14:textId="0731E37C" w:rsidR="00A94B87" w:rsidRDefault="00164F34" w:rsidP="00FD763B">
      <w:pPr>
        <w:rPr>
          <w:lang w:val="en-US" w:eastAsia="x-none"/>
        </w:rPr>
      </w:pPr>
      <w:r>
        <w:rPr>
          <w:rFonts w:eastAsia="MS Mincho"/>
          <w:lang w:val="en-US"/>
        </w:rPr>
        <w:t xml:space="preserve">It </w:t>
      </w:r>
      <w:r w:rsidR="00A94B87">
        <w:rPr>
          <w:rFonts w:eastAsia="MS Mincho"/>
          <w:lang w:val="en-US"/>
        </w:rPr>
        <w:t xml:space="preserve">is agreed in an email discussion </w:t>
      </w:r>
      <w:r w:rsidR="00A94B87">
        <w:rPr>
          <w:lang w:val="en-US" w:eastAsia="x-none"/>
        </w:rPr>
        <w:t xml:space="preserve">[98b-NR-22] that for Rel-16 </w:t>
      </w:r>
      <w:proofErr w:type="spellStart"/>
      <w:r w:rsidR="00A94B87">
        <w:rPr>
          <w:lang w:val="en-US" w:eastAsia="x-none"/>
        </w:rPr>
        <w:t>eURLLC</w:t>
      </w:r>
      <w:proofErr w:type="spellEnd"/>
      <w:r w:rsidR="00A94B87">
        <w:rPr>
          <w:lang w:val="en-US" w:eastAsia="x-none"/>
        </w:rPr>
        <w:t xml:space="preserve"> PDSCH, the network can configure </w:t>
      </w:r>
      <w:r w:rsidR="001F1D62">
        <w:rPr>
          <w:lang w:val="en-US" w:eastAsia="x-none"/>
        </w:rPr>
        <w:t xml:space="preserve">that </w:t>
      </w:r>
      <w:r w:rsidR="00A94B87">
        <w:rPr>
          <w:lang w:val="en-US" w:eastAsia="x-none"/>
        </w:rPr>
        <w:t>the starting symbol</w:t>
      </w:r>
      <w:r w:rsidR="001F1D62">
        <w:rPr>
          <w:lang w:val="en-US" w:eastAsia="x-none"/>
        </w:rPr>
        <w:t>,</w:t>
      </w:r>
      <w:r w:rsidR="00A94B87">
        <w:rPr>
          <w:lang w:val="en-US" w:eastAsia="x-none"/>
        </w:rPr>
        <w:t xml:space="preserve"> </w:t>
      </w:r>
      <w:r w:rsidR="00A94B87" w:rsidRPr="00A94B87">
        <w:rPr>
          <w:i/>
          <w:lang w:val="en-US" w:eastAsia="x-none"/>
        </w:rPr>
        <w:t>S</w:t>
      </w:r>
      <w:r w:rsidR="00A94B87">
        <w:rPr>
          <w:lang w:val="en-US" w:eastAsia="x-none"/>
        </w:rPr>
        <w:t xml:space="preserve">, of the PDSCH is relative to the start of the PDCCH carrying the DL Grant instead of the slot boundary.  This is applicable for TDRA table entries where K0=0, i.e. when same slot scheduling is used.  There is an FFS as to whether K0&gt;0 entries can be configured in the same TDRA table.  The argument against having cross slot (K0&gt;0) entries in the TDRA table is that there may not be </w:t>
      </w:r>
      <w:proofErr w:type="gramStart"/>
      <w:r w:rsidR="00A94B87">
        <w:rPr>
          <w:lang w:val="en-US" w:eastAsia="x-none"/>
        </w:rPr>
        <w:t>sufficient</w:t>
      </w:r>
      <w:proofErr w:type="gramEnd"/>
      <w:r w:rsidR="00A94B87">
        <w:rPr>
          <w:lang w:val="en-US" w:eastAsia="x-none"/>
        </w:rPr>
        <w:t xml:space="preserve"> entries in the table to accommodate same slot and cross slot entries.</w:t>
      </w:r>
    </w:p>
    <w:p w14:paraId="5FB0C24C" w14:textId="452730D7" w:rsidR="00902695" w:rsidRDefault="00A94B87" w:rsidP="00FD763B">
      <w:pPr>
        <w:rPr>
          <w:lang w:val="en-US" w:eastAsia="x-none"/>
        </w:rPr>
      </w:pPr>
      <w:r>
        <w:rPr>
          <w:lang w:val="en-US" w:eastAsia="x-none"/>
        </w:rPr>
        <w:t>Firstly, it has been shown that for K0=0, using this new reference point (i.e. relative to the start of DL Grant) would reduce the number of entries required</w:t>
      </w:r>
      <w:r w:rsidR="00902695">
        <w:rPr>
          <w:lang w:val="en-US" w:eastAsia="x-none"/>
        </w:rPr>
        <w:t xml:space="preserve"> [2]</w:t>
      </w:r>
      <w:r>
        <w:rPr>
          <w:lang w:val="en-US" w:eastAsia="x-none"/>
        </w:rPr>
        <w:t xml:space="preserve">.  </w:t>
      </w:r>
    </w:p>
    <w:p w14:paraId="6AAC0C11" w14:textId="501B8AF2" w:rsidR="00902695" w:rsidRPr="00902695" w:rsidRDefault="00902695" w:rsidP="00FD763B">
      <w:pPr>
        <w:rPr>
          <w:b/>
          <w:lang w:val="en-US" w:eastAsia="x-none"/>
        </w:rPr>
      </w:pPr>
      <w:r w:rsidRPr="00902695">
        <w:rPr>
          <w:b/>
          <w:lang w:val="en-US" w:eastAsia="x-none"/>
        </w:rPr>
        <w:t>Observation 1: For same slot scheduling, having the starting symbol of PDSCH relative to the start of the PDCCH carrying the DL Grant requires less entries in the TDRA table compared to using the legacy reference point.</w:t>
      </w:r>
    </w:p>
    <w:p w14:paraId="4BAE4AC4" w14:textId="77777777" w:rsidR="00902695" w:rsidRDefault="00902695" w:rsidP="00FD763B">
      <w:pPr>
        <w:rPr>
          <w:lang w:val="en-US" w:eastAsia="x-none"/>
        </w:rPr>
      </w:pPr>
    </w:p>
    <w:p w14:paraId="5960AF58" w14:textId="096979AB" w:rsidR="00A94B87" w:rsidRPr="00A94B87" w:rsidRDefault="00A94B87" w:rsidP="00FD763B">
      <w:pPr>
        <w:rPr>
          <w:lang w:val="en-US" w:eastAsia="x-none"/>
        </w:rPr>
      </w:pPr>
      <w:r>
        <w:rPr>
          <w:lang w:val="en-US" w:eastAsia="x-none"/>
        </w:rPr>
        <w:t xml:space="preserve">Secondly, it isn’t clear why such </w:t>
      </w:r>
      <w:r w:rsidR="001F1D62">
        <w:rPr>
          <w:lang w:val="en-US" w:eastAsia="x-none"/>
        </w:rPr>
        <w:t xml:space="preserve">an </w:t>
      </w:r>
      <w:r>
        <w:rPr>
          <w:lang w:val="en-US" w:eastAsia="x-none"/>
        </w:rPr>
        <w:t xml:space="preserve">unnecessary restriction (i.e. not allowing K0&gt;0 entries) is imposed onto the network scheduling.  If the network deemed there is no need for K0&gt;0 entries or there are not </w:t>
      </w:r>
      <w:proofErr w:type="gramStart"/>
      <w:r>
        <w:rPr>
          <w:lang w:val="en-US" w:eastAsia="x-none"/>
        </w:rPr>
        <w:t>sufficient</w:t>
      </w:r>
      <w:proofErr w:type="gramEnd"/>
      <w:r>
        <w:rPr>
          <w:lang w:val="en-US" w:eastAsia="x-none"/>
        </w:rPr>
        <w:t xml:space="preserve"> entries in the TDRA table for its scheduling scheme, the network can configure a TDRA table with only K0=0 entries.</w:t>
      </w:r>
      <w:r w:rsidR="00902695">
        <w:rPr>
          <w:lang w:val="en-US" w:eastAsia="x-none"/>
        </w:rPr>
        <w:t xml:space="preserve">  If the network needs to perform cross slot </w:t>
      </w:r>
      <w:proofErr w:type="gramStart"/>
      <w:r w:rsidR="00902695">
        <w:rPr>
          <w:lang w:val="en-US" w:eastAsia="x-none"/>
        </w:rPr>
        <w:t>scheduling</w:t>
      </w:r>
      <w:proofErr w:type="gramEnd"/>
      <w:r w:rsidR="00902695">
        <w:rPr>
          <w:lang w:val="en-US" w:eastAsia="x-none"/>
        </w:rPr>
        <w:t xml:space="preserve"> then it should be able to have K0&gt;0 entries in its TDRA table.</w:t>
      </w:r>
    </w:p>
    <w:p w14:paraId="01FBCD07" w14:textId="38CF6FED" w:rsidR="00FD763B" w:rsidRPr="00902695" w:rsidRDefault="00902695" w:rsidP="00FD763B">
      <w:pPr>
        <w:rPr>
          <w:rFonts w:eastAsia="MS Mincho"/>
          <w:b/>
          <w:lang w:val="en-US"/>
        </w:rPr>
      </w:pPr>
      <w:r w:rsidRPr="00902695">
        <w:rPr>
          <w:rFonts w:eastAsia="MS Mincho"/>
          <w:b/>
          <w:lang w:val="en-US"/>
        </w:rPr>
        <w:t>Observation 2: Forcing the network to use only same slot scheduling by not allowing K0&gt;0 entries in the TDRA configuration imposes unnecessary restriction to the network scheduling.</w:t>
      </w:r>
    </w:p>
    <w:p w14:paraId="0905AD7E" w14:textId="39DD7ECF" w:rsidR="00902695" w:rsidRDefault="00902695" w:rsidP="00FD763B">
      <w:pPr>
        <w:rPr>
          <w:rFonts w:eastAsia="MS Mincho"/>
          <w:lang w:val="en-US"/>
        </w:rPr>
      </w:pPr>
    </w:p>
    <w:p w14:paraId="0156A258" w14:textId="34FB5EFF" w:rsidR="00902695" w:rsidRDefault="00902695" w:rsidP="00FD763B">
      <w:pPr>
        <w:rPr>
          <w:rFonts w:eastAsia="MS Mincho"/>
          <w:lang w:val="en-US"/>
        </w:rPr>
      </w:pPr>
      <w:proofErr w:type="gramStart"/>
      <w:r>
        <w:rPr>
          <w:rFonts w:eastAsia="MS Mincho"/>
          <w:lang w:val="en-US"/>
        </w:rPr>
        <w:t>Finally</w:t>
      </w:r>
      <w:proofErr w:type="gramEnd"/>
      <w:r>
        <w:rPr>
          <w:rFonts w:eastAsia="MS Mincho"/>
          <w:lang w:val="en-US"/>
        </w:rPr>
        <w:t xml:space="preserve"> there is absolutely no benefit shown in imposing such </w:t>
      </w:r>
      <w:r w:rsidR="001F1D62">
        <w:rPr>
          <w:rFonts w:eastAsia="MS Mincho"/>
          <w:lang w:val="en-US"/>
        </w:rPr>
        <w:t xml:space="preserve">an </w:t>
      </w:r>
      <w:r>
        <w:rPr>
          <w:rFonts w:eastAsia="MS Mincho"/>
          <w:lang w:val="en-US"/>
        </w:rPr>
        <w:t>unnecessary restriction as completely barring cross slot scheduling in a TDRA configuration.  We therefore propose that K0&gt;0 entries are allowed in the TDRA table.  It has already been shown by a few companies that for K0&gt;0, the legacy reference point (relative to slot boundary) is beneficial in terms of reducing the number of entries [2], [3]</w:t>
      </w:r>
      <w:r w:rsidR="00821293">
        <w:rPr>
          <w:rFonts w:eastAsia="MS Mincho"/>
          <w:lang w:val="en-US"/>
        </w:rPr>
        <w:t xml:space="preserve"> and so for entries </w:t>
      </w:r>
      <w:r w:rsidR="001F1D62">
        <w:rPr>
          <w:rFonts w:eastAsia="MS Mincho"/>
          <w:lang w:val="en-US"/>
        </w:rPr>
        <w:t xml:space="preserve">for which </w:t>
      </w:r>
      <w:r w:rsidR="00821293">
        <w:rPr>
          <w:rFonts w:eastAsia="MS Mincho"/>
          <w:lang w:val="en-US"/>
        </w:rPr>
        <w:t>K0&gt;0, the legacy reference point is used.</w:t>
      </w:r>
    </w:p>
    <w:p w14:paraId="7D486248" w14:textId="045C58F6" w:rsidR="00821293" w:rsidRPr="00821293" w:rsidRDefault="00821293" w:rsidP="00821293">
      <w:pPr>
        <w:autoSpaceDE w:val="0"/>
        <w:autoSpaceDN w:val="0"/>
        <w:snapToGrid w:val="0"/>
        <w:spacing w:after="0"/>
        <w:jc w:val="both"/>
        <w:rPr>
          <w:b/>
        </w:rPr>
      </w:pPr>
      <w:r w:rsidRPr="00821293">
        <w:rPr>
          <w:rFonts w:eastAsia="MS Mincho"/>
          <w:b/>
          <w:lang w:val="en-US"/>
        </w:rPr>
        <w:t xml:space="preserve">Proposal 2: </w:t>
      </w:r>
      <w:r w:rsidRPr="00821293">
        <w:rPr>
          <w:b/>
        </w:rPr>
        <w:t>When the RRC enables the utilization of the new reference</w:t>
      </w:r>
      <w:r w:rsidR="001F1D62">
        <w:rPr>
          <w:b/>
        </w:rPr>
        <w:t xml:space="preserve"> point</w:t>
      </w:r>
      <w:r w:rsidRPr="00821293">
        <w:rPr>
          <w:b/>
        </w:rPr>
        <w:t>, where the PDSCH starting symbol is relative to the start of the PDCCH carrying the DL Grant, for TDRA entries with K0=0:</w:t>
      </w:r>
    </w:p>
    <w:p w14:paraId="67994734" w14:textId="4AD82303" w:rsidR="00821293" w:rsidRPr="00821293" w:rsidRDefault="00821293" w:rsidP="00821293">
      <w:pPr>
        <w:numPr>
          <w:ilvl w:val="0"/>
          <w:numId w:val="17"/>
        </w:numPr>
        <w:autoSpaceDE w:val="0"/>
        <w:autoSpaceDN w:val="0"/>
        <w:snapToGrid w:val="0"/>
        <w:spacing w:after="0"/>
        <w:jc w:val="both"/>
        <w:rPr>
          <w:rFonts w:eastAsiaTheme="minorEastAsia"/>
          <w:b/>
          <w:lang w:eastAsia="zh-CN"/>
        </w:rPr>
      </w:pPr>
      <w:r w:rsidRPr="00821293">
        <w:rPr>
          <w:rFonts w:eastAsiaTheme="minorEastAsia"/>
          <w:b/>
          <w:lang w:eastAsia="zh-CN"/>
        </w:rPr>
        <w:t>Other entries with K0&gt;0 can also be included in the same TDRA table and for these entries (K0&gt;0), the reference starting symbol of the PDSCH is relative to the slot boundary as in Rel-15.</w:t>
      </w:r>
    </w:p>
    <w:p w14:paraId="7694F815" w14:textId="77777777" w:rsidR="00FD763B" w:rsidRDefault="00FD763B" w:rsidP="00FD763B">
      <w:pPr>
        <w:rPr>
          <w:rFonts w:eastAsia="MS Mincho"/>
          <w:lang w:val="en-US"/>
        </w:rPr>
      </w:pPr>
    </w:p>
    <w:p w14:paraId="4BFE25EE" w14:textId="77777777" w:rsidR="00FD763B" w:rsidRDefault="00FD763B" w:rsidP="00FD763B">
      <w:pPr>
        <w:pStyle w:val="Heading2"/>
        <w:numPr>
          <w:ilvl w:val="1"/>
          <w:numId w:val="5"/>
        </w:numPr>
        <w:rPr>
          <w:lang w:val="en-US"/>
        </w:rPr>
      </w:pPr>
      <w:r>
        <w:rPr>
          <w:color w:val="000000"/>
          <w:kern w:val="2"/>
          <w:lang w:eastAsia="zh-CN"/>
        </w:rPr>
        <w:t>Modulation and Coding Scheme (</w:t>
      </w:r>
      <w:r>
        <w:rPr>
          <w:lang w:val="en-US"/>
        </w:rPr>
        <w:t>MCS)</w:t>
      </w:r>
    </w:p>
    <w:p w14:paraId="7001EF4E" w14:textId="77777777" w:rsidR="00FD763B" w:rsidRDefault="00FD763B" w:rsidP="00FD763B">
      <w:pPr>
        <w:rPr>
          <w:lang w:val="en-US"/>
        </w:rPr>
      </w:pPr>
      <w:r>
        <w:rPr>
          <w:lang w:val="en-US"/>
        </w:rPr>
        <w:t>The size of the MCS field in Rel-15 is 5 bits and it is suggested that a smaller MCS size can be used since high modulation &amp; high code rate schemes are not suitable for URLLC as URLLC requires high reliability: hence the high modulation and code rate schemes can be removed.  However, this reliability aspect has already been addressed with the introduction of a lower spectral efficiency MCS table in Rel-15.</w:t>
      </w:r>
    </w:p>
    <w:p w14:paraId="154666FE" w14:textId="59207F57" w:rsidR="00FD763B" w:rsidRDefault="00FD763B" w:rsidP="00FD763B">
      <w:pPr>
        <w:rPr>
          <w:lang w:val="en-US"/>
        </w:rPr>
      </w:pPr>
      <w:r>
        <w:rPr>
          <w:lang w:val="en-US"/>
        </w:rPr>
        <w:t xml:space="preserve">Reducing the size of the MCS would lead to coarser MCS granularity which leads to inefficient allocation of resources.  Alternatively, a localized subset of the Rel-15 MCS table could be used, e.g. a </w:t>
      </w:r>
      <w:proofErr w:type="gramStart"/>
      <w:r>
        <w:rPr>
          <w:lang w:val="en-US"/>
        </w:rPr>
        <w:t>3 bit</w:t>
      </w:r>
      <w:proofErr w:type="gramEnd"/>
      <w:r>
        <w:rPr>
          <w:lang w:val="en-US"/>
        </w:rPr>
        <w:t xml:space="preserve"> MCS field using the lower 8 entries of the Rel-15 MCS table, and the localized subset used is RRC configured. </w:t>
      </w:r>
      <w:r w:rsidR="00821293">
        <w:rPr>
          <w:lang w:val="en-US"/>
        </w:rPr>
        <w:t xml:space="preserve"> </w:t>
      </w:r>
      <w:r>
        <w:rPr>
          <w:lang w:val="en-US"/>
        </w:rPr>
        <w:t>However, localizing to a subset of the Rel-15 MCS table may not be suitable if the UE moves to a different radio condition and reconfiguring the UE to a different subset of the MCS table would introduce latency.  Hence, we have a preference not to change the size of the MCS field.</w:t>
      </w:r>
    </w:p>
    <w:p w14:paraId="48E9E83A" w14:textId="77777777" w:rsidR="00FD763B" w:rsidRDefault="00FD763B" w:rsidP="00FD763B">
      <w:pPr>
        <w:rPr>
          <w:b/>
          <w:lang w:val="en-US"/>
        </w:rPr>
      </w:pPr>
      <w:r w:rsidRPr="003B5EBD">
        <w:rPr>
          <w:b/>
          <w:lang w:val="en-US"/>
        </w:rPr>
        <w:t xml:space="preserve">Proposal </w:t>
      </w:r>
      <w:r>
        <w:rPr>
          <w:b/>
          <w:lang w:val="en-US"/>
        </w:rPr>
        <w:t>3</w:t>
      </w:r>
      <w:r w:rsidRPr="003B5EBD">
        <w:rPr>
          <w:b/>
          <w:lang w:val="en-US"/>
        </w:rPr>
        <w:t xml:space="preserve">: The size of the MCS field is maintained at 5 bits.  </w:t>
      </w:r>
    </w:p>
    <w:p w14:paraId="320A5363" w14:textId="77777777" w:rsidR="00D204A3" w:rsidRPr="00503C98" w:rsidRDefault="00D204A3" w:rsidP="009B2CDF">
      <w:pPr>
        <w:rPr>
          <w:rFonts w:eastAsia="MS Mincho"/>
          <w:b/>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E12E885" w14:textId="70C26063" w:rsidR="00D626F0" w:rsidRPr="005738B2" w:rsidRDefault="00855F39" w:rsidP="007F513A">
      <w:pPr>
        <w:rPr>
          <w:b/>
          <w:lang w:eastAsia="zh-CN"/>
        </w:rPr>
      </w:pPr>
      <w:r>
        <w:t>In this contribution</w:t>
      </w:r>
      <w:r w:rsidR="00BD2B36">
        <w:t>,</w:t>
      </w:r>
      <w:r>
        <w:t xml:space="preserve"> we discuss </w:t>
      </w:r>
      <w:r w:rsidR="0026656B">
        <w:t xml:space="preserve">some </w:t>
      </w:r>
      <w:r w:rsidR="00716698">
        <w:t xml:space="preserve">remaining </w:t>
      </w:r>
      <w:r w:rsidR="00D204A3">
        <w:t xml:space="preserve">issues in </w:t>
      </w:r>
      <w:r w:rsidR="0055704D">
        <w:t>P</w:t>
      </w:r>
      <w:r w:rsidR="00D671A1">
        <w:t>D</w:t>
      </w:r>
      <w:r w:rsidR="0055704D">
        <w:t xml:space="preserve">CCH </w:t>
      </w:r>
      <w:r w:rsidR="00D204A3">
        <w:t xml:space="preserve">enhancements for </w:t>
      </w:r>
      <w:proofErr w:type="spellStart"/>
      <w:r w:rsidR="00D204A3">
        <w:t>eURLLC</w:t>
      </w:r>
      <w:proofErr w:type="spellEnd"/>
      <w:r w:rsidR="00D204A3">
        <w:t>.  We observe the following:</w:t>
      </w:r>
    </w:p>
    <w:p w14:paraId="2C8B8709" w14:textId="77777777" w:rsidR="00D671A1" w:rsidRPr="00902695" w:rsidRDefault="00D671A1" w:rsidP="00D671A1">
      <w:pPr>
        <w:rPr>
          <w:b/>
          <w:lang w:val="en-US" w:eastAsia="x-none"/>
        </w:rPr>
      </w:pPr>
      <w:r w:rsidRPr="00902695">
        <w:rPr>
          <w:b/>
          <w:lang w:val="en-US" w:eastAsia="x-none"/>
        </w:rPr>
        <w:t xml:space="preserve">Observation 1: For same slot scheduling, having the starting symbol of PDSCH relative to the start of the PDCCH carrying the </w:t>
      </w:r>
      <w:bookmarkStart w:id="3" w:name="_GoBack"/>
      <w:bookmarkEnd w:id="3"/>
      <w:r w:rsidRPr="00902695">
        <w:rPr>
          <w:b/>
          <w:lang w:val="en-US" w:eastAsia="x-none"/>
        </w:rPr>
        <w:t>DL Grant requires less entries in the TDRA table compared to using the legacy reference point.</w:t>
      </w:r>
    </w:p>
    <w:p w14:paraId="3DE44249" w14:textId="77777777" w:rsidR="00D671A1" w:rsidRPr="00902695" w:rsidRDefault="00D671A1" w:rsidP="00D671A1">
      <w:pPr>
        <w:rPr>
          <w:rFonts w:eastAsia="MS Mincho"/>
          <w:b/>
          <w:lang w:val="en-US"/>
        </w:rPr>
      </w:pPr>
      <w:r w:rsidRPr="00902695">
        <w:rPr>
          <w:rFonts w:eastAsia="MS Mincho"/>
          <w:b/>
          <w:lang w:val="en-US"/>
        </w:rPr>
        <w:t>Observation 2: Forcing the network to use only same slot scheduling by not allowing K0&gt;0 entries in the TDRA configuration imposes unnecessary restriction to the network scheduling.</w:t>
      </w:r>
    </w:p>
    <w:p w14:paraId="282DB0F5" w14:textId="77777777" w:rsidR="00716698" w:rsidRDefault="00716698" w:rsidP="00A91C99"/>
    <w:p w14:paraId="2C2098D3" w14:textId="7908537C" w:rsidR="00A91C99" w:rsidRPr="00BD2B36" w:rsidRDefault="00034A05" w:rsidP="00A91C99">
      <w:pPr>
        <w:rPr>
          <w:rFonts w:eastAsia="MS Mincho"/>
          <w:lang w:val="en-US"/>
        </w:rPr>
      </w:pPr>
      <w:r>
        <w:t xml:space="preserve">We </w:t>
      </w:r>
      <w:r w:rsidR="00716698">
        <w:t xml:space="preserve">therefore </w:t>
      </w:r>
      <w:r w:rsidR="00BD2B36" w:rsidRPr="00BD2B36">
        <w:rPr>
          <w:rFonts w:eastAsia="MS Mincho"/>
          <w:lang w:val="en-US"/>
        </w:rPr>
        <w:t>propose the following:</w:t>
      </w:r>
    </w:p>
    <w:p w14:paraId="68844300" w14:textId="77777777" w:rsidR="00D671A1" w:rsidRPr="0024533F" w:rsidRDefault="00D671A1" w:rsidP="00D671A1">
      <w:pPr>
        <w:rPr>
          <w:rFonts w:eastAsia="MS Mincho"/>
          <w:b/>
          <w:lang w:val="en-US"/>
        </w:rPr>
      </w:pPr>
      <w:r w:rsidRPr="0024533F">
        <w:rPr>
          <w:rFonts w:eastAsia="MS Mincho"/>
          <w:b/>
          <w:lang w:val="en-US"/>
        </w:rPr>
        <w:t xml:space="preserve">Proposal </w:t>
      </w:r>
      <w:r>
        <w:rPr>
          <w:rFonts w:eastAsia="MS Mincho"/>
          <w:b/>
          <w:lang w:val="en-US"/>
        </w:rPr>
        <w:t>1</w:t>
      </w:r>
      <w:r w:rsidRPr="0024533F">
        <w:rPr>
          <w:rFonts w:eastAsia="MS Mincho"/>
          <w:b/>
          <w:lang w:val="en-US"/>
        </w:rPr>
        <w:t>: Support Resource Allocation Type 0 for frequency domain resource assignment for the DCI format scheduling Rel-16 DL URLLC.</w:t>
      </w:r>
      <w:r>
        <w:rPr>
          <w:rFonts w:eastAsia="MS Mincho"/>
          <w:b/>
          <w:lang w:val="en-US"/>
        </w:rPr>
        <w:t xml:space="preserve">  No changes required from Rel-15.</w:t>
      </w:r>
    </w:p>
    <w:p w14:paraId="086141E3" w14:textId="77777777" w:rsidR="00D671A1" w:rsidRPr="00821293" w:rsidRDefault="00D671A1" w:rsidP="00D671A1">
      <w:pPr>
        <w:autoSpaceDE w:val="0"/>
        <w:autoSpaceDN w:val="0"/>
        <w:snapToGrid w:val="0"/>
        <w:spacing w:after="0"/>
        <w:jc w:val="both"/>
        <w:rPr>
          <w:b/>
        </w:rPr>
      </w:pPr>
      <w:r w:rsidRPr="00821293">
        <w:rPr>
          <w:rFonts w:eastAsia="MS Mincho"/>
          <w:b/>
          <w:lang w:val="en-US"/>
        </w:rPr>
        <w:t xml:space="preserve">Proposal 2: </w:t>
      </w:r>
      <w:r w:rsidRPr="00821293">
        <w:rPr>
          <w:b/>
        </w:rPr>
        <w:t>When the RRC enables the utilization of the new reference</w:t>
      </w:r>
      <w:r>
        <w:rPr>
          <w:b/>
        </w:rPr>
        <w:t xml:space="preserve"> point</w:t>
      </w:r>
      <w:r w:rsidRPr="00821293">
        <w:rPr>
          <w:b/>
        </w:rPr>
        <w:t>, where the PDSCH starting symbol is relative to the start of the PDCCH carrying the DL Grant, for TDRA entries with K0=0:</w:t>
      </w:r>
    </w:p>
    <w:p w14:paraId="1629602F" w14:textId="77777777" w:rsidR="00D671A1" w:rsidRPr="00821293" w:rsidRDefault="00D671A1" w:rsidP="00D671A1">
      <w:pPr>
        <w:numPr>
          <w:ilvl w:val="0"/>
          <w:numId w:val="17"/>
        </w:numPr>
        <w:autoSpaceDE w:val="0"/>
        <w:autoSpaceDN w:val="0"/>
        <w:snapToGrid w:val="0"/>
        <w:spacing w:after="0"/>
        <w:jc w:val="both"/>
        <w:rPr>
          <w:rFonts w:eastAsiaTheme="minorEastAsia"/>
          <w:b/>
          <w:lang w:eastAsia="zh-CN"/>
        </w:rPr>
      </w:pPr>
      <w:r w:rsidRPr="00821293">
        <w:rPr>
          <w:rFonts w:eastAsiaTheme="minorEastAsia"/>
          <w:b/>
          <w:lang w:eastAsia="zh-CN"/>
        </w:rPr>
        <w:t>Other entries with K0&gt;0 can also be included in the same TDRA table and for these entries (K0&gt;0), the reference starting symbol of the PDSCH is relative to the slot boundary as in Rel-15.</w:t>
      </w:r>
    </w:p>
    <w:p w14:paraId="4C5B9FD3" w14:textId="77777777" w:rsidR="00D671A1" w:rsidRDefault="00D671A1" w:rsidP="00D671A1">
      <w:pPr>
        <w:rPr>
          <w:rFonts w:eastAsia="MS Mincho"/>
          <w:lang w:val="en-US"/>
        </w:rPr>
      </w:pPr>
    </w:p>
    <w:p w14:paraId="4CB22AB9" w14:textId="77777777" w:rsidR="00D671A1" w:rsidRDefault="00D671A1" w:rsidP="00D671A1">
      <w:pPr>
        <w:rPr>
          <w:b/>
          <w:lang w:val="en-US"/>
        </w:rPr>
      </w:pPr>
      <w:r w:rsidRPr="003B5EBD">
        <w:rPr>
          <w:b/>
          <w:lang w:val="en-US"/>
        </w:rPr>
        <w:t xml:space="preserve">Proposal </w:t>
      </w:r>
      <w:r>
        <w:rPr>
          <w:b/>
          <w:lang w:val="en-US"/>
        </w:rPr>
        <w:t>3</w:t>
      </w:r>
      <w:r w:rsidRPr="003B5EBD">
        <w:rPr>
          <w:b/>
          <w:lang w:val="en-US"/>
        </w:rPr>
        <w:t xml:space="preserve">: The size of the MCS field is maintained at 5 bits.  </w:t>
      </w:r>
    </w:p>
    <w:p w14:paraId="6911CE29" w14:textId="77777777" w:rsidR="00BD2B36" w:rsidRPr="001D7294" w:rsidRDefault="00BD2B36" w:rsidP="00A91C99">
      <w:pPr>
        <w:rPr>
          <w:rFonts w:eastAsia="MS Mincho"/>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364CA01F" w14:textId="0B8984CC" w:rsidR="004C3C5C" w:rsidRDefault="004C3C5C" w:rsidP="004C3C5C">
      <w:r>
        <w:t>[1] TR38.824, “Study on physical layer enhancements for NR ultra-reliable and low latency case (URLLC) (Rel-16)”</w:t>
      </w:r>
    </w:p>
    <w:p w14:paraId="35B82DAC" w14:textId="457E440B" w:rsidR="00902695" w:rsidRDefault="00902695" w:rsidP="004C3C5C">
      <w:r>
        <w:t xml:space="preserve">[2] </w:t>
      </w:r>
      <w:r w:rsidRPr="00902695">
        <w:t>R1-1910768</w:t>
      </w:r>
      <w:r>
        <w:t>, “</w:t>
      </w:r>
      <w:r w:rsidRPr="00902695">
        <w:t>DCI Format for URLLC</w:t>
      </w:r>
      <w:r>
        <w:t>,” Sony, RAN1#98bis</w:t>
      </w:r>
    </w:p>
    <w:p w14:paraId="22B79CE8" w14:textId="781AD32F" w:rsidR="003428F0" w:rsidRDefault="00902695" w:rsidP="004C3C5C">
      <w:r>
        <w:t xml:space="preserve">[3] </w:t>
      </w:r>
      <w:r w:rsidRPr="00902695">
        <w:t>R1-1910341</w:t>
      </w:r>
      <w:r>
        <w:t>, “</w:t>
      </w:r>
      <w:r w:rsidRPr="00902695">
        <w:t>PDCCH enhancements for URLLC</w:t>
      </w:r>
      <w:r>
        <w:t xml:space="preserve">,” </w:t>
      </w:r>
      <w:r w:rsidRPr="00902695">
        <w:t>CATT</w:t>
      </w:r>
      <w:r>
        <w:t>, RAN1#98bis</w:t>
      </w:r>
    </w:p>
    <w:sectPr w:rsidR="003428F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9A75D" w14:textId="77777777" w:rsidR="0091333D" w:rsidRDefault="0091333D">
      <w:r>
        <w:separator/>
      </w:r>
    </w:p>
  </w:endnote>
  <w:endnote w:type="continuationSeparator" w:id="0">
    <w:p w14:paraId="06859DD7" w14:textId="77777777" w:rsidR="0091333D" w:rsidRDefault="0091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B26EB" w14:textId="77777777" w:rsidR="0091333D" w:rsidRDefault="0091333D">
      <w:r>
        <w:separator/>
      </w:r>
    </w:p>
  </w:footnote>
  <w:footnote w:type="continuationSeparator" w:id="0">
    <w:p w14:paraId="25FCAF40" w14:textId="77777777" w:rsidR="0091333D" w:rsidRDefault="00913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10"/>
  </w:num>
  <w:num w:numId="4">
    <w:abstractNumId w:val="6"/>
  </w:num>
  <w:num w:numId="5">
    <w:abstractNumId w:val="0"/>
  </w:num>
  <w:num w:numId="6">
    <w:abstractNumId w:val="8"/>
  </w:num>
  <w:num w:numId="7">
    <w:abstractNumId w:val="15"/>
  </w:num>
  <w:num w:numId="8">
    <w:abstractNumId w:val="5"/>
  </w:num>
  <w:num w:numId="9">
    <w:abstractNumId w:val="2"/>
  </w:num>
  <w:num w:numId="10">
    <w:abstractNumId w:val="3"/>
  </w:num>
  <w:num w:numId="11">
    <w:abstractNumId w:val="4"/>
  </w:num>
  <w:num w:numId="12">
    <w:abstractNumId w:val="7"/>
  </w:num>
  <w:num w:numId="13">
    <w:abstractNumId w:val="14"/>
  </w:num>
  <w:num w:numId="14">
    <w:abstractNumId w:val="12"/>
  </w:num>
  <w:num w:numId="15">
    <w:abstractNumId w:val="1"/>
  </w:num>
  <w:num w:numId="16">
    <w:abstractNumId w:val="9"/>
  </w:num>
  <w:num w:numId="1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102FF"/>
    <w:rsid w:val="0001157C"/>
    <w:rsid w:val="00011972"/>
    <w:rsid w:val="00017A64"/>
    <w:rsid w:val="00022060"/>
    <w:rsid w:val="00031AA4"/>
    <w:rsid w:val="00032A02"/>
    <w:rsid w:val="00034A05"/>
    <w:rsid w:val="00037FAD"/>
    <w:rsid w:val="00040836"/>
    <w:rsid w:val="0004157F"/>
    <w:rsid w:val="00041A7F"/>
    <w:rsid w:val="000437AE"/>
    <w:rsid w:val="00046177"/>
    <w:rsid w:val="00057629"/>
    <w:rsid w:val="00062DA9"/>
    <w:rsid w:val="00063EB5"/>
    <w:rsid w:val="00067574"/>
    <w:rsid w:val="000772E2"/>
    <w:rsid w:val="00093601"/>
    <w:rsid w:val="000952BF"/>
    <w:rsid w:val="000961E0"/>
    <w:rsid w:val="0009759A"/>
    <w:rsid w:val="000A1ACC"/>
    <w:rsid w:val="000B4315"/>
    <w:rsid w:val="000B5886"/>
    <w:rsid w:val="000C2901"/>
    <w:rsid w:val="000C2AC0"/>
    <w:rsid w:val="000D2E23"/>
    <w:rsid w:val="000D639E"/>
    <w:rsid w:val="000D7B2E"/>
    <w:rsid w:val="000E2A73"/>
    <w:rsid w:val="000F183A"/>
    <w:rsid w:val="000F2691"/>
    <w:rsid w:val="00103160"/>
    <w:rsid w:val="00106793"/>
    <w:rsid w:val="001074FE"/>
    <w:rsid w:val="00113713"/>
    <w:rsid w:val="00116008"/>
    <w:rsid w:val="001219AE"/>
    <w:rsid w:val="00121CA3"/>
    <w:rsid w:val="00123B0E"/>
    <w:rsid w:val="00124B6B"/>
    <w:rsid w:val="00124FCC"/>
    <w:rsid w:val="00126B43"/>
    <w:rsid w:val="001318A8"/>
    <w:rsid w:val="001324D1"/>
    <w:rsid w:val="00134BD6"/>
    <w:rsid w:val="0014010F"/>
    <w:rsid w:val="00144192"/>
    <w:rsid w:val="00154348"/>
    <w:rsid w:val="00155458"/>
    <w:rsid w:val="00160371"/>
    <w:rsid w:val="00162258"/>
    <w:rsid w:val="001641D6"/>
    <w:rsid w:val="00164F34"/>
    <w:rsid w:val="00173B87"/>
    <w:rsid w:val="00191488"/>
    <w:rsid w:val="00196366"/>
    <w:rsid w:val="00197E8E"/>
    <w:rsid w:val="001A4ED2"/>
    <w:rsid w:val="001A683D"/>
    <w:rsid w:val="001A7756"/>
    <w:rsid w:val="001B1893"/>
    <w:rsid w:val="001C7850"/>
    <w:rsid w:val="001D7294"/>
    <w:rsid w:val="001E6315"/>
    <w:rsid w:val="001F1D62"/>
    <w:rsid w:val="001F4476"/>
    <w:rsid w:val="001F4FDD"/>
    <w:rsid w:val="001F6352"/>
    <w:rsid w:val="001F6D3C"/>
    <w:rsid w:val="0020013C"/>
    <w:rsid w:val="00203776"/>
    <w:rsid w:val="00205730"/>
    <w:rsid w:val="00210426"/>
    <w:rsid w:val="002136ED"/>
    <w:rsid w:val="0021716A"/>
    <w:rsid w:val="0021781D"/>
    <w:rsid w:val="00221BCA"/>
    <w:rsid w:val="0022222B"/>
    <w:rsid w:val="0023091B"/>
    <w:rsid w:val="00233CA5"/>
    <w:rsid w:val="00235516"/>
    <w:rsid w:val="002366AD"/>
    <w:rsid w:val="002441DB"/>
    <w:rsid w:val="0024533F"/>
    <w:rsid w:val="00252C04"/>
    <w:rsid w:val="00254BFE"/>
    <w:rsid w:val="00257594"/>
    <w:rsid w:val="0025781D"/>
    <w:rsid w:val="0026014F"/>
    <w:rsid w:val="0026656B"/>
    <w:rsid w:val="00270216"/>
    <w:rsid w:val="002732F5"/>
    <w:rsid w:val="00275802"/>
    <w:rsid w:val="00275F80"/>
    <w:rsid w:val="002761EC"/>
    <w:rsid w:val="002850B5"/>
    <w:rsid w:val="002A006C"/>
    <w:rsid w:val="002A2A37"/>
    <w:rsid w:val="002A3B4C"/>
    <w:rsid w:val="002B1D8E"/>
    <w:rsid w:val="002C75C7"/>
    <w:rsid w:val="002D14A6"/>
    <w:rsid w:val="002D1FA5"/>
    <w:rsid w:val="002D4F72"/>
    <w:rsid w:val="002E09BD"/>
    <w:rsid w:val="002E0D51"/>
    <w:rsid w:val="002E7691"/>
    <w:rsid w:val="002F0B65"/>
    <w:rsid w:val="002F2113"/>
    <w:rsid w:val="002F27E9"/>
    <w:rsid w:val="002F7659"/>
    <w:rsid w:val="00305F45"/>
    <w:rsid w:val="003162A9"/>
    <w:rsid w:val="00323CCE"/>
    <w:rsid w:val="00325336"/>
    <w:rsid w:val="00327383"/>
    <w:rsid w:val="003428F0"/>
    <w:rsid w:val="00350811"/>
    <w:rsid w:val="00352564"/>
    <w:rsid w:val="003539C7"/>
    <w:rsid w:val="003567DC"/>
    <w:rsid w:val="00356FC8"/>
    <w:rsid w:val="003655DA"/>
    <w:rsid w:val="003675D2"/>
    <w:rsid w:val="00371CCF"/>
    <w:rsid w:val="003753AD"/>
    <w:rsid w:val="003832E9"/>
    <w:rsid w:val="0039361A"/>
    <w:rsid w:val="003A004E"/>
    <w:rsid w:val="003A1646"/>
    <w:rsid w:val="003A1649"/>
    <w:rsid w:val="003A42CD"/>
    <w:rsid w:val="003A433E"/>
    <w:rsid w:val="003B2EF1"/>
    <w:rsid w:val="003B5EBD"/>
    <w:rsid w:val="003B6947"/>
    <w:rsid w:val="003C646A"/>
    <w:rsid w:val="003D3533"/>
    <w:rsid w:val="003D4C90"/>
    <w:rsid w:val="003D595D"/>
    <w:rsid w:val="003D6EE0"/>
    <w:rsid w:val="003E0DFA"/>
    <w:rsid w:val="003E7694"/>
    <w:rsid w:val="003F1DD9"/>
    <w:rsid w:val="004012D6"/>
    <w:rsid w:val="0041482F"/>
    <w:rsid w:val="004211F1"/>
    <w:rsid w:val="00421D52"/>
    <w:rsid w:val="00422848"/>
    <w:rsid w:val="00427D9F"/>
    <w:rsid w:val="004476E8"/>
    <w:rsid w:val="00453952"/>
    <w:rsid w:val="0046114B"/>
    <w:rsid w:val="00464932"/>
    <w:rsid w:val="004768FB"/>
    <w:rsid w:val="0048341C"/>
    <w:rsid w:val="0048511E"/>
    <w:rsid w:val="00491FCD"/>
    <w:rsid w:val="00492A87"/>
    <w:rsid w:val="00495FF3"/>
    <w:rsid w:val="004A650D"/>
    <w:rsid w:val="004B158E"/>
    <w:rsid w:val="004B27C6"/>
    <w:rsid w:val="004B6ED1"/>
    <w:rsid w:val="004C13B8"/>
    <w:rsid w:val="004C3C5C"/>
    <w:rsid w:val="004C77E0"/>
    <w:rsid w:val="004D1FC7"/>
    <w:rsid w:val="004D5BF4"/>
    <w:rsid w:val="004E029D"/>
    <w:rsid w:val="004E0AC7"/>
    <w:rsid w:val="004F45DC"/>
    <w:rsid w:val="004F6519"/>
    <w:rsid w:val="00502AA5"/>
    <w:rsid w:val="00503C98"/>
    <w:rsid w:val="00503DA1"/>
    <w:rsid w:val="005141B3"/>
    <w:rsid w:val="00514ACC"/>
    <w:rsid w:val="00527811"/>
    <w:rsid w:val="005304A6"/>
    <w:rsid w:val="005317FD"/>
    <w:rsid w:val="00543763"/>
    <w:rsid w:val="00544758"/>
    <w:rsid w:val="00553A9F"/>
    <w:rsid w:val="0055704D"/>
    <w:rsid w:val="0055725A"/>
    <w:rsid w:val="005654F5"/>
    <w:rsid w:val="005658A0"/>
    <w:rsid w:val="005701B4"/>
    <w:rsid w:val="005738B2"/>
    <w:rsid w:val="00576978"/>
    <w:rsid w:val="005776BC"/>
    <w:rsid w:val="00577F8A"/>
    <w:rsid w:val="00585563"/>
    <w:rsid w:val="00586DFE"/>
    <w:rsid w:val="005873A3"/>
    <w:rsid w:val="005A3297"/>
    <w:rsid w:val="005A4D5E"/>
    <w:rsid w:val="005B1306"/>
    <w:rsid w:val="005B2443"/>
    <w:rsid w:val="005B2791"/>
    <w:rsid w:val="005C19D9"/>
    <w:rsid w:val="005C3EB6"/>
    <w:rsid w:val="005C54CF"/>
    <w:rsid w:val="005C70A9"/>
    <w:rsid w:val="005C7515"/>
    <w:rsid w:val="005D729E"/>
    <w:rsid w:val="005E6307"/>
    <w:rsid w:val="005F5642"/>
    <w:rsid w:val="006036D1"/>
    <w:rsid w:val="00610ACA"/>
    <w:rsid w:val="00624DB8"/>
    <w:rsid w:val="00626BB3"/>
    <w:rsid w:val="00643E1D"/>
    <w:rsid w:val="00653984"/>
    <w:rsid w:val="006569B2"/>
    <w:rsid w:val="00664E2F"/>
    <w:rsid w:val="006651CD"/>
    <w:rsid w:val="00673015"/>
    <w:rsid w:val="00692272"/>
    <w:rsid w:val="00694ABB"/>
    <w:rsid w:val="006A2116"/>
    <w:rsid w:val="006B12CE"/>
    <w:rsid w:val="006B35D9"/>
    <w:rsid w:val="006B39D4"/>
    <w:rsid w:val="006C1678"/>
    <w:rsid w:val="006C686F"/>
    <w:rsid w:val="006D000C"/>
    <w:rsid w:val="006D0EAA"/>
    <w:rsid w:val="006D21BF"/>
    <w:rsid w:val="006D62EB"/>
    <w:rsid w:val="006D73CE"/>
    <w:rsid w:val="006E1133"/>
    <w:rsid w:val="006F502D"/>
    <w:rsid w:val="006F50BE"/>
    <w:rsid w:val="006F65C1"/>
    <w:rsid w:val="00703FE8"/>
    <w:rsid w:val="00705B5E"/>
    <w:rsid w:val="00710CD7"/>
    <w:rsid w:val="00712E4B"/>
    <w:rsid w:val="00714F4D"/>
    <w:rsid w:val="00716698"/>
    <w:rsid w:val="00716A0A"/>
    <w:rsid w:val="007172AC"/>
    <w:rsid w:val="00723341"/>
    <w:rsid w:val="00724B8B"/>
    <w:rsid w:val="007271F6"/>
    <w:rsid w:val="00730D1B"/>
    <w:rsid w:val="007332E6"/>
    <w:rsid w:val="0073373C"/>
    <w:rsid w:val="00734E2E"/>
    <w:rsid w:val="00736094"/>
    <w:rsid w:val="0073740C"/>
    <w:rsid w:val="0073743C"/>
    <w:rsid w:val="00743918"/>
    <w:rsid w:val="007450D8"/>
    <w:rsid w:val="00752EA2"/>
    <w:rsid w:val="00773AC2"/>
    <w:rsid w:val="00774D29"/>
    <w:rsid w:val="00782D42"/>
    <w:rsid w:val="00783E56"/>
    <w:rsid w:val="00787B43"/>
    <w:rsid w:val="00794A35"/>
    <w:rsid w:val="007A086D"/>
    <w:rsid w:val="007A0C86"/>
    <w:rsid w:val="007A364E"/>
    <w:rsid w:val="007A3EEF"/>
    <w:rsid w:val="007A3FB0"/>
    <w:rsid w:val="007A7DBA"/>
    <w:rsid w:val="007B2533"/>
    <w:rsid w:val="007B2994"/>
    <w:rsid w:val="007C5797"/>
    <w:rsid w:val="007D3E92"/>
    <w:rsid w:val="007D59B0"/>
    <w:rsid w:val="007E5E30"/>
    <w:rsid w:val="007F1D9C"/>
    <w:rsid w:val="007F513A"/>
    <w:rsid w:val="007F518E"/>
    <w:rsid w:val="007F7470"/>
    <w:rsid w:val="008012B7"/>
    <w:rsid w:val="00802669"/>
    <w:rsid w:val="00802E59"/>
    <w:rsid w:val="008040D7"/>
    <w:rsid w:val="0081042E"/>
    <w:rsid w:val="00815B97"/>
    <w:rsid w:val="00820FAA"/>
    <w:rsid w:val="00821293"/>
    <w:rsid w:val="008401E5"/>
    <w:rsid w:val="008413E1"/>
    <w:rsid w:val="00842D44"/>
    <w:rsid w:val="00843540"/>
    <w:rsid w:val="0084643E"/>
    <w:rsid w:val="00847A26"/>
    <w:rsid w:val="00855F39"/>
    <w:rsid w:val="00867A8C"/>
    <w:rsid w:val="00876565"/>
    <w:rsid w:val="00877AF1"/>
    <w:rsid w:val="00877E96"/>
    <w:rsid w:val="0088003C"/>
    <w:rsid w:val="00881651"/>
    <w:rsid w:val="0088339A"/>
    <w:rsid w:val="00883898"/>
    <w:rsid w:val="00883BBE"/>
    <w:rsid w:val="00894ED8"/>
    <w:rsid w:val="008A188B"/>
    <w:rsid w:val="008B1B37"/>
    <w:rsid w:val="008B589E"/>
    <w:rsid w:val="008C4D81"/>
    <w:rsid w:val="008D0109"/>
    <w:rsid w:val="008D4C10"/>
    <w:rsid w:val="008D76C0"/>
    <w:rsid w:val="008D7C42"/>
    <w:rsid w:val="008F2B98"/>
    <w:rsid w:val="008F434A"/>
    <w:rsid w:val="008F4AE6"/>
    <w:rsid w:val="00901FF7"/>
    <w:rsid w:val="00902695"/>
    <w:rsid w:val="0091333D"/>
    <w:rsid w:val="00916802"/>
    <w:rsid w:val="009173D8"/>
    <w:rsid w:val="00920581"/>
    <w:rsid w:val="00923C84"/>
    <w:rsid w:val="00924FF2"/>
    <w:rsid w:val="009261FB"/>
    <w:rsid w:val="0093393E"/>
    <w:rsid w:val="0095028A"/>
    <w:rsid w:val="00953616"/>
    <w:rsid w:val="00955493"/>
    <w:rsid w:val="0096122E"/>
    <w:rsid w:val="00961354"/>
    <w:rsid w:val="00961B6E"/>
    <w:rsid w:val="009743CD"/>
    <w:rsid w:val="009779E0"/>
    <w:rsid w:val="009877EF"/>
    <w:rsid w:val="0099351A"/>
    <w:rsid w:val="00993E69"/>
    <w:rsid w:val="009A7E72"/>
    <w:rsid w:val="009B2CDF"/>
    <w:rsid w:val="009B720C"/>
    <w:rsid w:val="009C4FA7"/>
    <w:rsid w:val="009D0603"/>
    <w:rsid w:val="009D4321"/>
    <w:rsid w:val="009D6199"/>
    <w:rsid w:val="009D7CB0"/>
    <w:rsid w:val="009E0604"/>
    <w:rsid w:val="009E62B4"/>
    <w:rsid w:val="009F0E70"/>
    <w:rsid w:val="009F2B42"/>
    <w:rsid w:val="009F5D37"/>
    <w:rsid w:val="009F680B"/>
    <w:rsid w:val="00A101D9"/>
    <w:rsid w:val="00A16E6F"/>
    <w:rsid w:val="00A2568F"/>
    <w:rsid w:val="00A35D8F"/>
    <w:rsid w:val="00A43E4F"/>
    <w:rsid w:val="00A45186"/>
    <w:rsid w:val="00A4534B"/>
    <w:rsid w:val="00A4775E"/>
    <w:rsid w:val="00A57B22"/>
    <w:rsid w:val="00A61CED"/>
    <w:rsid w:val="00A74192"/>
    <w:rsid w:val="00A824A2"/>
    <w:rsid w:val="00A86BFF"/>
    <w:rsid w:val="00A91C99"/>
    <w:rsid w:val="00A94B87"/>
    <w:rsid w:val="00A971B2"/>
    <w:rsid w:val="00AA5907"/>
    <w:rsid w:val="00AB1010"/>
    <w:rsid w:val="00AB118C"/>
    <w:rsid w:val="00AB269C"/>
    <w:rsid w:val="00AB4ED7"/>
    <w:rsid w:val="00AD17BB"/>
    <w:rsid w:val="00AD598D"/>
    <w:rsid w:val="00AD730F"/>
    <w:rsid w:val="00AD73F7"/>
    <w:rsid w:val="00AE1269"/>
    <w:rsid w:val="00AE52A9"/>
    <w:rsid w:val="00AF500B"/>
    <w:rsid w:val="00AF7D65"/>
    <w:rsid w:val="00B01DFD"/>
    <w:rsid w:val="00B035D0"/>
    <w:rsid w:val="00B06276"/>
    <w:rsid w:val="00B065B8"/>
    <w:rsid w:val="00B11B16"/>
    <w:rsid w:val="00B11C54"/>
    <w:rsid w:val="00B132F8"/>
    <w:rsid w:val="00B2782B"/>
    <w:rsid w:val="00B31B89"/>
    <w:rsid w:val="00B33943"/>
    <w:rsid w:val="00B37E96"/>
    <w:rsid w:val="00B42019"/>
    <w:rsid w:val="00B434DA"/>
    <w:rsid w:val="00B4693B"/>
    <w:rsid w:val="00B563BB"/>
    <w:rsid w:val="00B6720B"/>
    <w:rsid w:val="00B72231"/>
    <w:rsid w:val="00B77116"/>
    <w:rsid w:val="00B875A8"/>
    <w:rsid w:val="00B910D6"/>
    <w:rsid w:val="00B969BD"/>
    <w:rsid w:val="00BA58BF"/>
    <w:rsid w:val="00BA5B26"/>
    <w:rsid w:val="00BB47FD"/>
    <w:rsid w:val="00BC3CD4"/>
    <w:rsid w:val="00BD2B36"/>
    <w:rsid w:val="00BD38BA"/>
    <w:rsid w:val="00BE5A64"/>
    <w:rsid w:val="00C05967"/>
    <w:rsid w:val="00C05E47"/>
    <w:rsid w:val="00C06F57"/>
    <w:rsid w:val="00C11C96"/>
    <w:rsid w:val="00C12176"/>
    <w:rsid w:val="00C17CE0"/>
    <w:rsid w:val="00C246F3"/>
    <w:rsid w:val="00C2745F"/>
    <w:rsid w:val="00C2790E"/>
    <w:rsid w:val="00C27AB9"/>
    <w:rsid w:val="00C31666"/>
    <w:rsid w:val="00C31D6F"/>
    <w:rsid w:val="00C40BF8"/>
    <w:rsid w:val="00C45F0C"/>
    <w:rsid w:val="00C64143"/>
    <w:rsid w:val="00C74ED5"/>
    <w:rsid w:val="00C757A9"/>
    <w:rsid w:val="00C85A7B"/>
    <w:rsid w:val="00C85AA9"/>
    <w:rsid w:val="00C8704A"/>
    <w:rsid w:val="00C96FEB"/>
    <w:rsid w:val="00C97D4D"/>
    <w:rsid w:val="00CA4D7D"/>
    <w:rsid w:val="00CB2067"/>
    <w:rsid w:val="00CC1C2E"/>
    <w:rsid w:val="00CD1AE5"/>
    <w:rsid w:val="00CD763C"/>
    <w:rsid w:val="00CE6182"/>
    <w:rsid w:val="00CE74AD"/>
    <w:rsid w:val="00CF700B"/>
    <w:rsid w:val="00D05592"/>
    <w:rsid w:val="00D11D0F"/>
    <w:rsid w:val="00D204A3"/>
    <w:rsid w:val="00D20928"/>
    <w:rsid w:val="00D23964"/>
    <w:rsid w:val="00D24596"/>
    <w:rsid w:val="00D25B95"/>
    <w:rsid w:val="00D25F71"/>
    <w:rsid w:val="00D26832"/>
    <w:rsid w:val="00D3258A"/>
    <w:rsid w:val="00D32EE9"/>
    <w:rsid w:val="00D35B64"/>
    <w:rsid w:val="00D51D00"/>
    <w:rsid w:val="00D550D7"/>
    <w:rsid w:val="00D626F0"/>
    <w:rsid w:val="00D671A1"/>
    <w:rsid w:val="00D679ED"/>
    <w:rsid w:val="00D700B3"/>
    <w:rsid w:val="00D74424"/>
    <w:rsid w:val="00D75074"/>
    <w:rsid w:val="00D76319"/>
    <w:rsid w:val="00D765D7"/>
    <w:rsid w:val="00D873A4"/>
    <w:rsid w:val="00D87BC1"/>
    <w:rsid w:val="00D87CC2"/>
    <w:rsid w:val="00D969D2"/>
    <w:rsid w:val="00DA40B7"/>
    <w:rsid w:val="00DA4475"/>
    <w:rsid w:val="00DA744F"/>
    <w:rsid w:val="00DB3077"/>
    <w:rsid w:val="00DB7CD3"/>
    <w:rsid w:val="00DB7F21"/>
    <w:rsid w:val="00DC0149"/>
    <w:rsid w:val="00DD00B1"/>
    <w:rsid w:val="00DD077C"/>
    <w:rsid w:val="00DD4844"/>
    <w:rsid w:val="00DD7E2D"/>
    <w:rsid w:val="00DE2090"/>
    <w:rsid w:val="00DE5DA3"/>
    <w:rsid w:val="00DE73E9"/>
    <w:rsid w:val="00DF2054"/>
    <w:rsid w:val="00DF7A12"/>
    <w:rsid w:val="00E0743C"/>
    <w:rsid w:val="00E119B7"/>
    <w:rsid w:val="00E130DD"/>
    <w:rsid w:val="00E14F89"/>
    <w:rsid w:val="00E24C67"/>
    <w:rsid w:val="00E24EDC"/>
    <w:rsid w:val="00E31082"/>
    <w:rsid w:val="00E31E66"/>
    <w:rsid w:val="00E32E3A"/>
    <w:rsid w:val="00E47A53"/>
    <w:rsid w:val="00E52CA2"/>
    <w:rsid w:val="00E53555"/>
    <w:rsid w:val="00E53E3D"/>
    <w:rsid w:val="00E56063"/>
    <w:rsid w:val="00E65A15"/>
    <w:rsid w:val="00E70CF1"/>
    <w:rsid w:val="00E73B2E"/>
    <w:rsid w:val="00E7721C"/>
    <w:rsid w:val="00E80AA8"/>
    <w:rsid w:val="00E82E4E"/>
    <w:rsid w:val="00E92C63"/>
    <w:rsid w:val="00E95706"/>
    <w:rsid w:val="00EA021D"/>
    <w:rsid w:val="00EA13CA"/>
    <w:rsid w:val="00EA24A8"/>
    <w:rsid w:val="00EA40E1"/>
    <w:rsid w:val="00EB0375"/>
    <w:rsid w:val="00EB1A3A"/>
    <w:rsid w:val="00EC16AB"/>
    <w:rsid w:val="00EE4E88"/>
    <w:rsid w:val="00EF1C9C"/>
    <w:rsid w:val="00EF2E1D"/>
    <w:rsid w:val="00EF6059"/>
    <w:rsid w:val="00EF6860"/>
    <w:rsid w:val="00F030D8"/>
    <w:rsid w:val="00F07E05"/>
    <w:rsid w:val="00F1792E"/>
    <w:rsid w:val="00F2008C"/>
    <w:rsid w:val="00F21723"/>
    <w:rsid w:val="00F21EDD"/>
    <w:rsid w:val="00F234D2"/>
    <w:rsid w:val="00F26367"/>
    <w:rsid w:val="00F27C11"/>
    <w:rsid w:val="00F27E41"/>
    <w:rsid w:val="00F3221D"/>
    <w:rsid w:val="00F41322"/>
    <w:rsid w:val="00F42338"/>
    <w:rsid w:val="00F474F1"/>
    <w:rsid w:val="00F47D39"/>
    <w:rsid w:val="00F5447D"/>
    <w:rsid w:val="00F60872"/>
    <w:rsid w:val="00F61ACC"/>
    <w:rsid w:val="00F646C8"/>
    <w:rsid w:val="00F65320"/>
    <w:rsid w:val="00F65428"/>
    <w:rsid w:val="00F74054"/>
    <w:rsid w:val="00F759EA"/>
    <w:rsid w:val="00F75E37"/>
    <w:rsid w:val="00F814B6"/>
    <w:rsid w:val="00F876AE"/>
    <w:rsid w:val="00F912B3"/>
    <w:rsid w:val="00FA49E4"/>
    <w:rsid w:val="00FA4AE2"/>
    <w:rsid w:val="00FB778E"/>
    <w:rsid w:val="00FC16FC"/>
    <w:rsid w:val="00FC2996"/>
    <w:rsid w:val="00FC3D97"/>
    <w:rsid w:val="00FC4D74"/>
    <w:rsid w:val="00FC59D2"/>
    <w:rsid w:val="00FD3E68"/>
    <w:rsid w:val="00FD763B"/>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6407017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97557040">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8B520-B05C-448D-9DC2-FE854DD6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cp:revision>
  <cp:lastPrinted>2002-04-23T09:10:00Z</cp:lastPrinted>
  <dcterms:created xsi:type="dcterms:W3CDTF">2019-11-08T17:19:00Z</dcterms:created>
  <dcterms:modified xsi:type="dcterms:W3CDTF">2019-11-08T17:21:00Z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